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331E0" w14:textId="57E9094B" w:rsidR="002F4177" w:rsidRPr="00633991" w:rsidRDefault="002F4177" w:rsidP="00986AD3">
      <w:pPr>
        <w:adjustRightInd w:val="0"/>
        <w:snapToGrid w:val="0"/>
        <w:contextualSpacing/>
        <w:rPr>
          <w:rFonts w:asciiTheme="majorHAnsi" w:eastAsia="Calibri" w:hAnsiTheme="majorHAnsi" w:cstheme="majorHAnsi"/>
          <w:b/>
          <w:bCs/>
        </w:rPr>
      </w:pPr>
      <w:r w:rsidRPr="00633991">
        <w:rPr>
          <w:rFonts w:asciiTheme="majorHAnsi" w:eastAsia="Calibri" w:hAnsiTheme="majorHAnsi" w:cstheme="majorHAnsi"/>
          <w:b/>
          <w:bCs/>
        </w:rPr>
        <w:t xml:space="preserve">Briefing Paper: Exploration of Indigenous Food Sovereignty and the Climate Crisis in Tuktoyaktuk, </w:t>
      </w:r>
      <w:r w:rsidR="008718C4">
        <w:rPr>
          <w:rFonts w:asciiTheme="majorHAnsi" w:eastAsia="Calibri" w:hAnsiTheme="majorHAnsi" w:cstheme="majorHAnsi"/>
          <w:b/>
          <w:bCs/>
        </w:rPr>
        <w:t>North</w:t>
      </w:r>
      <w:r w:rsidRPr="00633991">
        <w:rPr>
          <w:rFonts w:asciiTheme="majorHAnsi" w:eastAsia="Calibri" w:hAnsiTheme="majorHAnsi" w:cstheme="majorHAnsi"/>
          <w:b/>
          <w:bCs/>
        </w:rPr>
        <w:t>west Territories</w:t>
      </w:r>
    </w:p>
    <w:p w14:paraId="5BAD4088" w14:textId="77777777" w:rsidR="002F4177" w:rsidRPr="00633991" w:rsidRDefault="002F4177" w:rsidP="00986AD3">
      <w:pPr>
        <w:pBdr>
          <w:bottom w:val="single" w:sz="12" w:space="5" w:color="auto"/>
        </w:pBdr>
        <w:adjustRightInd w:val="0"/>
        <w:snapToGrid w:val="0"/>
        <w:contextualSpacing/>
        <w:rPr>
          <w:rFonts w:asciiTheme="majorHAnsi" w:eastAsia="Calibri" w:hAnsiTheme="majorHAnsi" w:cstheme="majorHAnsi"/>
          <w:i/>
        </w:rPr>
      </w:pPr>
      <w:r w:rsidRPr="00633991">
        <w:rPr>
          <w:rFonts w:asciiTheme="majorHAnsi" w:eastAsia="Calibri" w:hAnsiTheme="majorHAnsi" w:cstheme="majorHAnsi"/>
          <w:i/>
        </w:rPr>
        <w:t xml:space="preserve">Brianna Poirier, MSc  </w:t>
      </w:r>
    </w:p>
    <w:p w14:paraId="2091794D" w14:textId="77777777" w:rsidR="002F4177" w:rsidRPr="00633991" w:rsidRDefault="002F4177" w:rsidP="00986AD3">
      <w:pPr>
        <w:adjustRightInd w:val="0"/>
        <w:snapToGrid w:val="0"/>
        <w:spacing w:before="120" w:after="120"/>
        <w:contextualSpacing/>
        <w:rPr>
          <w:rFonts w:asciiTheme="majorHAnsi" w:eastAsia="Calibri" w:hAnsiTheme="majorHAnsi" w:cstheme="majorHAnsi"/>
          <w:b/>
          <w:bCs/>
        </w:rPr>
      </w:pPr>
    </w:p>
    <w:p w14:paraId="52BE1786" w14:textId="29B393B0" w:rsidR="008E6FB5" w:rsidRPr="00633991" w:rsidRDefault="002F4177" w:rsidP="00986AD3">
      <w:pPr>
        <w:adjustRightInd w:val="0"/>
        <w:snapToGrid w:val="0"/>
        <w:spacing w:before="120" w:after="120"/>
        <w:contextualSpacing/>
        <w:rPr>
          <w:rFonts w:asciiTheme="majorHAnsi" w:eastAsia="Calibri" w:hAnsiTheme="majorHAnsi" w:cstheme="majorHAnsi"/>
          <w:b/>
          <w:bCs/>
        </w:rPr>
      </w:pPr>
      <w:r w:rsidRPr="00633991">
        <w:rPr>
          <w:rFonts w:asciiTheme="majorHAnsi" w:eastAsia="Calibri" w:hAnsiTheme="majorHAnsi" w:cstheme="majorHAnsi"/>
          <w:b/>
          <w:bCs/>
        </w:rPr>
        <w:t>Introduction</w:t>
      </w:r>
    </w:p>
    <w:p w14:paraId="69358A98" w14:textId="25A97681" w:rsidR="00FC7715" w:rsidRDefault="00FC7715" w:rsidP="00986AD3">
      <w:pPr>
        <w:adjustRightInd w:val="0"/>
        <w:snapToGrid w:val="0"/>
        <w:spacing w:before="120" w:after="120"/>
        <w:contextualSpacing/>
        <w:rPr>
          <w:rFonts w:asciiTheme="majorHAnsi" w:eastAsia="Calibri" w:hAnsiTheme="majorHAnsi" w:cstheme="majorHAnsi"/>
          <w:b/>
          <w:bCs/>
        </w:rPr>
      </w:pPr>
    </w:p>
    <w:p w14:paraId="451C8396" w14:textId="1D097E8F" w:rsidR="00B74C44" w:rsidRDefault="00895DCB" w:rsidP="00986AD3">
      <w:pPr>
        <w:adjustRightInd w:val="0"/>
        <w:snapToGrid w:val="0"/>
        <w:spacing w:before="120" w:after="120"/>
        <w:contextualSpacing/>
        <w:rPr>
          <w:rFonts w:asciiTheme="majorHAnsi" w:eastAsia="Calibri" w:hAnsiTheme="majorHAnsi" w:cstheme="majorHAnsi"/>
          <w:bCs/>
        </w:rPr>
      </w:pPr>
      <w:r>
        <w:rPr>
          <w:rFonts w:asciiTheme="majorHAnsi" w:eastAsia="Calibri" w:hAnsiTheme="majorHAnsi" w:cstheme="majorHAnsi"/>
          <w:bCs/>
        </w:rPr>
        <w:t xml:space="preserve">Arctic communities across the globe are at the forefront of </w:t>
      </w:r>
      <w:r w:rsidR="008771F5">
        <w:rPr>
          <w:rFonts w:asciiTheme="majorHAnsi" w:eastAsia="Calibri" w:hAnsiTheme="majorHAnsi" w:cstheme="majorHAnsi"/>
          <w:bCs/>
        </w:rPr>
        <w:t xml:space="preserve">climate change and are already experiencing the devastating implications of </w:t>
      </w:r>
      <w:r w:rsidR="00B74C44">
        <w:rPr>
          <w:rFonts w:asciiTheme="majorHAnsi" w:eastAsia="Calibri" w:hAnsiTheme="majorHAnsi" w:cstheme="majorHAnsi"/>
          <w:bCs/>
        </w:rPr>
        <w:t>temperature and sea level rise, reduced summer sea-ice, glaci</w:t>
      </w:r>
      <w:r w:rsidR="001073AA">
        <w:rPr>
          <w:rFonts w:asciiTheme="majorHAnsi" w:eastAsia="Calibri" w:hAnsiTheme="majorHAnsi" w:cstheme="majorHAnsi"/>
          <w:bCs/>
        </w:rPr>
        <w:t>al</w:t>
      </w:r>
      <w:r w:rsidR="00B74C44">
        <w:rPr>
          <w:rFonts w:asciiTheme="majorHAnsi" w:eastAsia="Calibri" w:hAnsiTheme="majorHAnsi" w:cstheme="majorHAnsi"/>
          <w:bCs/>
        </w:rPr>
        <w:t xml:space="preserve"> melting, coastal erosion and decreased permafrost</w:t>
      </w:r>
      <w:r w:rsidR="008771F5">
        <w:rPr>
          <w:rFonts w:asciiTheme="majorHAnsi" w:eastAsia="Calibri" w:hAnsiTheme="majorHAnsi" w:cstheme="majorHAnsi"/>
          <w:bCs/>
        </w:rPr>
        <w:t xml:space="preserve">. </w:t>
      </w:r>
      <w:r w:rsidR="00B74C44">
        <w:rPr>
          <w:rFonts w:asciiTheme="majorHAnsi" w:eastAsia="Calibri" w:hAnsiTheme="majorHAnsi" w:cstheme="majorHAnsi"/>
          <w:bCs/>
        </w:rPr>
        <w:t>Climate change indicators observed by Inuit across Arctic Canada include longer summers, shorter winters and faster thawing of ice; these changes hinder traditionally</w:t>
      </w:r>
      <w:r w:rsidR="001A50C4">
        <w:rPr>
          <w:rFonts w:asciiTheme="majorHAnsi" w:eastAsia="Calibri" w:hAnsiTheme="majorHAnsi" w:cstheme="majorHAnsi"/>
          <w:bCs/>
        </w:rPr>
        <w:t xml:space="preserve"> </w:t>
      </w:r>
      <w:r w:rsidR="00B74C44">
        <w:rPr>
          <w:rFonts w:asciiTheme="majorHAnsi" w:eastAsia="Calibri" w:hAnsiTheme="majorHAnsi" w:cstheme="majorHAnsi"/>
          <w:bCs/>
        </w:rPr>
        <w:t>accurate climate predictions and make travelling on land and ice dangerous (</w:t>
      </w:r>
      <w:proofErr w:type="spellStart"/>
      <w:r w:rsidR="007833E8" w:rsidRPr="007833E8">
        <w:rPr>
          <w:rFonts w:asciiTheme="majorHAnsi" w:eastAsia="Times New Roman" w:hAnsiTheme="majorHAnsi" w:cstheme="majorHAnsi"/>
          <w:color w:val="000000"/>
        </w:rPr>
        <w:t>Bonesteel</w:t>
      </w:r>
      <w:proofErr w:type="spellEnd"/>
      <w:r w:rsidR="007833E8" w:rsidRPr="007833E8">
        <w:rPr>
          <w:rFonts w:asciiTheme="majorHAnsi" w:eastAsia="Times New Roman" w:hAnsiTheme="majorHAnsi" w:cstheme="majorHAnsi"/>
          <w:color w:val="000000"/>
        </w:rPr>
        <w:t>, 2006</w:t>
      </w:r>
      <w:r w:rsidR="007833E8">
        <w:rPr>
          <w:rFonts w:asciiTheme="majorHAnsi" w:eastAsia="Times New Roman" w:hAnsiTheme="majorHAnsi" w:cstheme="majorHAnsi"/>
          <w:color w:val="000000"/>
        </w:rPr>
        <w:t xml:space="preserve">). </w:t>
      </w:r>
      <w:r w:rsidR="00B74C44" w:rsidRPr="004B4A82">
        <w:rPr>
          <w:rFonts w:asciiTheme="majorHAnsi" w:eastAsia="Calibri" w:hAnsiTheme="majorHAnsi" w:cstheme="majorHAnsi"/>
          <w:bCs/>
        </w:rPr>
        <w:t>Ecosystem upset can result in decreased climate regulation, loss of nutrient cycling, poor soil formation and reduced photosynthesis (</w:t>
      </w:r>
      <w:proofErr w:type="spellStart"/>
      <w:r w:rsidR="00B74C44" w:rsidRPr="004B4A82">
        <w:rPr>
          <w:rFonts w:asciiTheme="majorHAnsi" w:eastAsia="Calibri" w:hAnsiTheme="majorHAnsi" w:cstheme="majorHAnsi"/>
          <w:bCs/>
        </w:rPr>
        <w:t>Markkula</w:t>
      </w:r>
      <w:proofErr w:type="spellEnd"/>
      <w:r w:rsidR="00B74C44" w:rsidRPr="004B4A82">
        <w:rPr>
          <w:rFonts w:asciiTheme="majorHAnsi" w:eastAsia="Calibri" w:hAnsiTheme="majorHAnsi" w:cstheme="majorHAnsi"/>
          <w:bCs/>
        </w:rPr>
        <w:t xml:space="preserve">, </w:t>
      </w:r>
      <w:proofErr w:type="spellStart"/>
      <w:r w:rsidR="00B74C44" w:rsidRPr="004B4A82">
        <w:rPr>
          <w:rFonts w:asciiTheme="majorHAnsi" w:eastAsia="Calibri" w:hAnsiTheme="majorHAnsi" w:cstheme="majorHAnsi"/>
          <w:bCs/>
        </w:rPr>
        <w:t>Turunen</w:t>
      </w:r>
      <w:proofErr w:type="spellEnd"/>
      <w:r w:rsidR="00B74C44" w:rsidRPr="004B4A82">
        <w:rPr>
          <w:rFonts w:asciiTheme="majorHAnsi" w:eastAsia="Calibri" w:hAnsiTheme="majorHAnsi" w:cstheme="majorHAnsi"/>
          <w:bCs/>
        </w:rPr>
        <w:t>, &amp; Rasmus, 2019)</w:t>
      </w:r>
      <w:r w:rsidR="00B74C44">
        <w:rPr>
          <w:rFonts w:asciiTheme="majorHAnsi" w:eastAsia="Calibri" w:hAnsiTheme="majorHAnsi" w:cstheme="majorHAnsi"/>
          <w:bCs/>
        </w:rPr>
        <w:t xml:space="preserve">. </w:t>
      </w:r>
      <w:r w:rsidR="008771F5">
        <w:rPr>
          <w:rFonts w:asciiTheme="majorHAnsi" w:eastAsia="Calibri" w:hAnsiTheme="majorHAnsi" w:cstheme="majorHAnsi"/>
          <w:bCs/>
        </w:rPr>
        <w:t>These environmental conditions, among others, have severe impacts on Arctic life, culture, food and infrastructure (</w:t>
      </w:r>
      <w:proofErr w:type="spellStart"/>
      <w:r w:rsidR="008771F5">
        <w:rPr>
          <w:rFonts w:asciiTheme="majorHAnsi" w:eastAsia="Calibri" w:hAnsiTheme="majorHAnsi" w:cstheme="majorHAnsi"/>
          <w:bCs/>
        </w:rPr>
        <w:t>Andrachuk</w:t>
      </w:r>
      <w:proofErr w:type="spellEnd"/>
      <w:r w:rsidR="008771F5">
        <w:rPr>
          <w:rFonts w:asciiTheme="majorHAnsi" w:eastAsia="Calibri" w:hAnsiTheme="majorHAnsi" w:cstheme="majorHAnsi"/>
          <w:bCs/>
        </w:rPr>
        <w:t xml:space="preserve"> &amp; Smit, 2012). </w:t>
      </w:r>
      <w:r w:rsidR="00BC6EFB">
        <w:rPr>
          <w:rFonts w:asciiTheme="majorHAnsi" w:eastAsia="Calibri" w:hAnsiTheme="majorHAnsi" w:cstheme="majorHAnsi"/>
          <w:bCs/>
        </w:rPr>
        <w:t>Recently, d</w:t>
      </w:r>
      <w:r w:rsidR="008771F5">
        <w:rPr>
          <w:rFonts w:asciiTheme="majorHAnsi" w:eastAsia="Calibri" w:hAnsiTheme="majorHAnsi" w:cstheme="majorHAnsi"/>
          <w:bCs/>
        </w:rPr>
        <w:t xml:space="preserve">iscussions around climate predictions in </w:t>
      </w:r>
      <w:r w:rsidR="008718C4">
        <w:rPr>
          <w:rFonts w:asciiTheme="majorHAnsi" w:eastAsia="Calibri" w:hAnsiTheme="majorHAnsi" w:cstheme="majorHAnsi"/>
          <w:bCs/>
        </w:rPr>
        <w:t>North</w:t>
      </w:r>
      <w:r w:rsidR="008771F5">
        <w:rPr>
          <w:rFonts w:asciiTheme="majorHAnsi" w:eastAsia="Calibri" w:hAnsiTheme="majorHAnsi" w:cstheme="majorHAnsi"/>
          <w:bCs/>
        </w:rPr>
        <w:t>ern Canada have appropriately shifted to adapt</w:t>
      </w:r>
      <w:r w:rsidR="001A50C4">
        <w:rPr>
          <w:rFonts w:asciiTheme="majorHAnsi" w:eastAsia="Calibri" w:hAnsiTheme="majorHAnsi" w:cstheme="majorHAnsi"/>
          <w:bCs/>
        </w:rPr>
        <w:t>at</w:t>
      </w:r>
      <w:r w:rsidR="008771F5">
        <w:rPr>
          <w:rFonts w:asciiTheme="majorHAnsi" w:eastAsia="Calibri" w:hAnsiTheme="majorHAnsi" w:cstheme="majorHAnsi"/>
          <w:bCs/>
        </w:rPr>
        <w:t>ion discussions, as numerous communities are already experiencing effects of climate change in their everyday life (</w:t>
      </w:r>
      <w:proofErr w:type="spellStart"/>
      <w:r w:rsidR="008771F5">
        <w:rPr>
          <w:rFonts w:asciiTheme="majorHAnsi" w:eastAsia="Calibri" w:hAnsiTheme="majorHAnsi" w:cstheme="majorHAnsi"/>
          <w:bCs/>
        </w:rPr>
        <w:t>Furgal</w:t>
      </w:r>
      <w:proofErr w:type="spellEnd"/>
      <w:r w:rsidR="008771F5">
        <w:rPr>
          <w:rFonts w:asciiTheme="majorHAnsi" w:eastAsia="Calibri" w:hAnsiTheme="majorHAnsi" w:cstheme="majorHAnsi"/>
          <w:bCs/>
        </w:rPr>
        <w:t xml:space="preserve"> &amp; Se</w:t>
      </w:r>
      <w:r w:rsidR="001B3A30">
        <w:rPr>
          <w:rFonts w:asciiTheme="majorHAnsi" w:eastAsia="Calibri" w:hAnsiTheme="majorHAnsi" w:cstheme="majorHAnsi"/>
          <w:bCs/>
        </w:rPr>
        <w:t>g</w:t>
      </w:r>
      <w:r w:rsidR="008771F5">
        <w:rPr>
          <w:rFonts w:asciiTheme="majorHAnsi" w:eastAsia="Calibri" w:hAnsiTheme="majorHAnsi" w:cstheme="majorHAnsi"/>
          <w:bCs/>
        </w:rPr>
        <w:t xml:space="preserve">uin, 2006). </w:t>
      </w:r>
      <w:r w:rsidR="008771F5">
        <w:rPr>
          <w:rFonts w:asciiTheme="majorHAnsi" w:hAnsiTheme="majorHAnsi" w:cstheme="majorHAnsi"/>
          <w:lang w:val="en-US"/>
        </w:rPr>
        <w:t xml:space="preserve">Despite living in Canada, an industrialized country, Inuit communities are disproportionately exposed and sensitive to the impacts of changing environmental conditions due to </w:t>
      </w:r>
      <w:r w:rsidR="00BC6EFB">
        <w:rPr>
          <w:rFonts w:asciiTheme="majorHAnsi" w:hAnsiTheme="majorHAnsi" w:cstheme="majorHAnsi"/>
          <w:lang w:val="en-US"/>
        </w:rPr>
        <w:t>community characteristics similar to</w:t>
      </w:r>
      <w:r w:rsidR="001A50C4">
        <w:rPr>
          <w:rFonts w:asciiTheme="majorHAnsi" w:hAnsiTheme="majorHAnsi" w:cstheme="majorHAnsi"/>
          <w:lang w:val="en-US"/>
        </w:rPr>
        <w:t xml:space="preserve"> those in</w:t>
      </w:r>
      <w:r w:rsidR="00BC6EFB">
        <w:rPr>
          <w:rFonts w:asciiTheme="majorHAnsi" w:hAnsiTheme="majorHAnsi" w:cstheme="majorHAnsi"/>
          <w:lang w:val="en-US"/>
        </w:rPr>
        <w:t xml:space="preserve"> developing countries </w:t>
      </w:r>
      <w:r w:rsidR="00060764" w:rsidRPr="008771F5">
        <w:rPr>
          <w:rFonts w:asciiTheme="majorHAnsi" w:hAnsiTheme="majorHAnsi" w:cstheme="majorHAnsi"/>
          <w:lang w:val="en-US"/>
        </w:rPr>
        <w:t>(</w:t>
      </w:r>
      <w:proofErr w:type="spellStart"/>
      <w:r w:rsidR="00060764" w:rsidRPr="008771F5">
        <w:rPr>
          <w:rFonts w:asciiTheme="majorHAnsi" w:hAnsiTheme="majorHAnsi" w:cstheme="majorHAnsi"/>
          <w:lang w:val="en-US"/>
        </w:rPr>
        <w:t>Andrachuk</w:t>
      </w:r>
      <w:proofErr w:type="spellEnd"/>
      <w:r w:rsidR="00060764" w:rsidRPr="008771F5">
        <w:rPr>
          <w:rFonts w:asciiTheme="majorHAnsi" w:hAnsiTheme="majorHAnsi" w:cstheme="majorHAnsi"/>
          <w:lang w:val="en-US"/>
        </w:rPr>
        <w:t xml:space="preserve"> &amp; Smit, 2012</w:t>
      </w:r>
      <w:r w:rsidR="005057F2">
        <w:rPr>
          <w:rFonts w:asciiTheme="majorHAnsi" w:hAnsiTheme="majorHAnsi" w:cstheme="majorHAnsi"/>
          <w:lang w:val="en-US"/>
        </w:rPr>
        <w:t xml:space="preserve">). </w:t>
      </w:r>
      <w:r w:rsidR="008F2216">
        <w:rPr>
          <w:rFonts w:asciiTheme="majorHAnsi" w:eastAsia="Calibri" w:hAnsiTheme="majorHAnsi" w:cstheme="majorHAnsi"/>
          <w:bCs/>
        </w:rPr>
        <w:t>Inuit communities have historically persevered in extreme conditions and adapted to significant change; when looking to the future it is uncertain how these communities will navigate their relationship with the land in the face of</w:t>
      </w:r>
      <w:r w:rsidR="00781B17">
        <w:rPr>
          <w:rFonts w:asciiTheme="majorHAnsi" w:eastAsia="Calibri" w:hAnsiTheme="majorHAnsi" w:cstheme="majorHAnsi"/>
          <w:bCs/>
        </w:rPr>
        <w:t xml:space="preserve"> the</w:t>
      </w:r>
      <w:r w:rsidR="008F2216">
        <w:rPr>
          <w:rFonts w:asciiTheme="majorHAnsi" w:eastAsia="Calibri" w:hAnsiTheme="majorHAnsi" w:cstheme="majorHAnsi"/>
          <w:bCs/>
        </w:rPr>
        <w:t xml:space="preserve"> </w:t>
      </w:r>
      <w:r w:rsidR="00781B17">
        <w:rPr>
          <w:rFonts w:asciiTheme="majorHAnsi" w:eastAsia="Calibri" w:hAnsiTheme="majorHAnsi" w:cstheme="majorHAnsi"/>
          <w:bCs/>
        </w:rPr>
        <w:t xml:space="preserve">new challenges presented by </w:t>
      </w:r>
      <w:r w:rsidR="008F2216">
        <w:rPr>
          <w:rFonts w:asciiTheme="majorHAnsi" w:eastAsia="Calibri" w:hAnsiTheme="majorHAnsi" w:cstheme="majorHAnsi"/>
          <w:bCs/>
        </w:rPr>
        <w:t xml:space="preserve">climate change </w:t>
      </w:r>
      <w:r w:rsidR="008F2216" w:rsidRPr="008771F5">
        <w:rPr>
          <w:rFonts w:asciiTheme="majorHAnsi" w:hAnsiTheme="majorHAnsi" w:cstheme="majorHAnsi"/>
          <w:lang w:val="en-US"/>
        </w:rPr>
        <w:t>(</w:t>
      </w:r>
      <w:proofErr w:type="spellStart"/>
      <w:r w:rsidR="008F2216" w:rsidRPr="008771F5">
        <w:rPr>
          <w:rFonts w:asciiTheme="majorHAnsi" w:hAnsiTheme="majorHAnsi" w:cstheme="majorHAnsi"/>
          <w:lang w:val="en-US"/>
        </w:rPr>
        <w:t>Andrachuk</w:t>
      </w:r>
      <w:proofErr w:type="spellEnd"/>
      <w:r w:rsidR="008F2216" w:rsidRPr="008771F5">
        <w:rPr>
          <w:rFonts w:asciiTheme="majorHAnsi" w:hAnsiTheme="majorHAnsi" w:cstheme="majorHAnsi"/>
          <w:lang w:val="en-US"/>
        </w:rPr>
        <w:t xml:space="preserve"> &amp; Smit, 2012</w:t>
      </w:r>
      <w:r w:rsidR="00986AD3">
        <w:rPr>
          <w:rFonts w:asciiTheme="majorHAnsi" w:hAnsiTheme="majorHAnsi" w:cstheme="majorHAnsi"/>
          <w:lang w:val="en-US"/>
        </w:rPr>
        <w:t xml:space="preserve">). </w:t>
      </w:r>
      <w:r w:rsidR="008F2216">
        <w:rPr>
          <w:rFonts w:asciiTheme="majorHAnsi" w:hAnsiTheme="majorHAnsi" w:cstheme="majorHAnsi"/>
          <w:lang w:val="en-US"/>
        </w:rPr>
        <w:t>The livelihoods of Indigenous Peoples</w:t>
      </w:r>
      <w:r w:rsidR="008F2216" w:rsidRPr="005057F2">
        <w:rPr>
          <w:rFonts w:asciiTheme="majorHAnsi" w:hAnsiTheme="majorHAnsi" w:cstheme="majorHAnsi"/>
          <w:lang w:val="en-US"/>
        </w:rPr>
        <w:t xml:space="preserve">, </w:t>
      </w:r>
      <w:r w:rsidR="005057F2" w:rsidRPr="005057F2">
        <w:rPr>
          <w:rFonts w:asciiTheme="majorHAnsi" w:hAnsiTheme="majorHAnsi" w:cstheme="majorHAnsi"/>
          <w:lang w:val="en-US"/>
        </w:rPr>
        <w:t>especially</w:t>
      </w:r>
      <w:r w:rsidR="008F2216" w:rsidRPr="005057F2">
        <w:rPr>
          <w:rFonts w:asciiTheme="majorHAnsi" w:hAnsiTheme="majorHAnsi" w:cstheme="majorHAnsi"/>
          <w:lang w:val="en-US"/>
        </w:rPr>
        <w:t xml:space="preserve"> Inuit</w:t>
      </w:r>
      <w:r w:rsidR="005057F2" w:rsidRPr="005057F2">
        <w:rPr>
          <w:rFonts w:asciiTheme="majorHAnsi" w:hAnsiTheme="majorHAnsi" w:cstheme="majorHAnsi"/>
          <w:lang w:val="en-US"/>
        </w:rPr>
        <w:t xml:space="preserve"> communities</w:t>
      </w:r>
      <w:r w:rsidR="008F2216" w:rsidRPr="005057F2">
        <w:rPr>
          <w:rFonts w:asciiTheme="majorHAnsi" w:hAnsiTheme="majorHAnsi" w:cstheme="majorHAnsi"/>
          <w:lang w:val="en-US"/>
        </w:rPr>
        <w:t xml:space="preserve">, </w:t>
      </w:r>
      <w:r w:rsidR="008F2216">
        <w:rPr>
          <w:rFonts w:asciiTheme="majorHAnsi" w:hAnsiTheme="majorHAnsi" w:cstheme="majorHAnsi"/>
          <w:lang w:val="en-US"/>
        </w:rPr>
        <w:t>are rooted in cyclic</w:t>
      </w:r>
      <w:r w:rsidR="00781B17">
        <w:rPr>
          <w:rFonts w:asciiTheme="majorHAnsi" w:hAnsiTheme="majorHAnsi" w:cstheme="majorHAnsi"/>
          <w:lang w:val="en-US"/>
        </w:rPr>
        <w:t>,</w:t>
      </w:r>
      <w:r w:rsidR="008F2216">
        <w:rPr>
          <w:rFonts w:asciiTheme="majorHAnsi" w:hAnsiTheme="majorHAnsi" w:cstheme="majorHAnsi"/>
          <w:lang w:val="en-US"/>
        </w:rPr>
        <w:t xml:space="preserve"> physical</w:t>
      </w:r>
      <w:r w:rsidR="00781B17">
        <w:rPr>
          <w:rFonts w:asciiTheme="majorHAnsi" w:hAnsiTheme="majorHAnsi" w:cstheme="majorHAnsi"/>
          <w:lang w:val="en-US"/>
        </w:rPr>
        <w:t>,</w:t>
      </w:r>
      <w:r w:rsidR="008F2216">
        <w:rPr>
          <w:rFonts w:asciiTheme="majorHAnsi" w:hAnsiTheme="majorHAnsi" w:cstheme="majorHAnsi"/>
          <w:lang w:val="en-US"/>
        </w:rPr>
        <w:t xml:space="preserve"> and biological resources that are continuously evolving</w:t>
      </w:r>
      <w:r w:rsidR="00781B17">
        <w:rPr>
          <w:rFonts w:asciiTheme="majorHAnsi" w:hAnsiTheme="majorHAnsi" w:cstheme="majorHAnsi"/>
          <w:lang w:val="en-US"/>
        </w:rPr>
        <w:t xml:space="preserve"> and</w:t>
      </w:r>
      <w:r w:rsidR="008F2216">
        <w:rPr>
          <w:rFonts w:asciiTheme="majorHAnsi" w:hAnsiTheme="majorHAnsi" w:cstheme="majorHAnsi"/>
          <w:lang w:val="en-US"/>
        </w:rPr>
        <w:t xml:space="preserve"> the ability of communities to adapt to changes is ultimately restricted by social, institutional and economic resources</w:t>
      </w:r>
      <w:r w:rsidR="001B3A30">
        <w:rPr>
          <w:rFonts w:asciiTheme="majorHAnsi" w:hAnsiTheme="majorHAnsi" w:cstheme="majorHAnsi"/>
          <w:lang w:val="en-US"/>
        </w:rPr>
        <w:t xml:space="preserve">. </w:t>
      </w:r>
      <w:r w:rsidR="008F2216">
        <w:rPr>
          <w:rFonts w:asciiTheme="majorHAnsi" w:eastAsia="Calibri" w:hAnsiTheme="majorHAnsi" w:cstheme="majorHAnsi"/>
          <w:bCs/>
        </w:rPr>
        <w:t xml:space="preserve">Due to heavy financial and </w:t>
      </w:r>
      <w:r w:rsidR="00B74C44">
        <w:rPr>
          <w:rFonts w:asciiTheme="majorHAnsi" w:eastAsia="Calibri" w:hAnsiTheme="majorHAnsi" w:cstheme="majorHAnsi"/>
          <w:bCs/>
        </w:rPr>
        <w:t xml:space="preserve">sustenance </w:t>
      </w:r>
      <w:r w:rsidR="008F2216">
        <w:rPr>
          <w:rFonts w:asciiTheme="majorHAnsi" w:eastAsia="Calibri" w:hAnsiTheme="majorHAnsi" w:cstheme="majorHAnsi"/>
          <w:bCs/>
        </w:rPr>
        <w:t>reliance on hunting and fishing, the Inuit of Inuvialuit have a substantial relationship with both wildlife and weather (</w:t>
      </w:r>
      <w:proofErr w:type="spellStart"/>
      <w:r w:rsidR="008F2216" w:rsidRPr="008771F5">
        <w:rPr>
          <w:rFonts w:asciiTheme="majorHAnsi" w:hAnsiTheme="majorHAnsi" w:cstheme="majorHAnsi"/>
          <w:lang w:val="en-US"/>
        </w:rPr>
        <w:t>Andrachuk</w:t>
      </w:r>
      <w:proofErr w:type="spellEnd"/>
      <w:r w:rsidR="008F2216" w:rsidRPr="008771F5">
        <w:rPr>
          <w:rFonts w:asciiTheme="majorHAnsi" w:hAnsiTheme="majorHAnsi" w:cstheme="majorHAnsi"/>
          <w:lang w:val="en-US"/>
        </w:rPr>
        <w:t xml:space="preserve"> &amp; Smit, 2012)</w:t>
      </w:r>
      <w:r w:rsidR="00B74C44">
        <w:rPr>
          <w:rFonts w:asciiTheme="majorHAnsi" w:hAnsiTheme="majorHAnsi" w:cstheme="majorHAnsi"/>
          <w:lang w:val="en-US"/>
        </w:rPr>
        <w:t xml:space="preserve">. </w:t>
      </w:r>
      <w:r w:rsidR="00B74C44" w:rsidRPr="004B4A82">
        <w:rPr>
          <w:rFonts w:asciiTheme="majorHAnsi" w:hAnsiTheme="majorHAnsi" w:cstheme="majorHAnsi"/>
          <w:lang w:val="en-US"/>
        </w:rPr>
        <w:t>Traditional subsistence practices, such as salmon gathering</w:t>
      </w:r>
      <w:r w:rsidR="00781B17">
        <w:rPr>
          <w:rFonts w:asciiTheme="majorHAnsi" w:hAnsiTheme="majorHAnsi" w:cstheme="majorHAnsi"/>
          <w:lang w:val="en-US"/>
        </w:rPr>
        <w:t xml:space="preserve"> and</w:t>
      </w:r>
      <w:r w:rsidR="00B74C44" w:rsidRPr="004B4A82">
        <w:rPr>
          <w:rFonts w:asciiTheme="majorHAnsi" w:hAnsiTheme="majorHAnsi" w:cstheme="majorHAnsi"/>
          <w:lang w:val="en-US"/>
        </w:rPr>
        <w:t xml:space="preserve"> </w:t>
      </w:r>
      <w:r w:rsidR="00781B17">
        <w:rPr>
          <w:rFonts w:asciiTheme="majorHAnsi" w:hAnsiTheme="majorHAnsi" w:cstheme="majorHAnsi"/>
          <w:lang w:val="en-US"/>
        </w:rPr>
        <w:t>caribou hunting</w:t>
      </w:r>
      <w:r w:rsidR="00B74C44" w:rsidRPr="004B4A82">
        <w:rPr>
          <w:rFonts w:asciiTheme="majorHAnsi" w:hAnsiTheme="majorHAnsi" w:cstheme="majorHAnsi"/>
          <w:lang w:val="en-US"/>
        </w:rPr>
        <w:t>, are altered when ecosystems are disrupted</w:t>
      </w:r>
      <w:r w:rsidR="001A50C4">
        <w:rPr>
          <w:rFonts w:asciiTheme="majorHAnsi" w:hAnsiTheme="majorHAnsi" w:cstheme="majorHAnsi"/>
          <w:lang w:val="en-US"/>
        </w:rPr>
        <w:t>,</w:t>
      </w:r>
      <w:r w:rsidR="00B74C44" w:rsidRPr="004B4A82">
        <w:rPr>
          <w:rFonts w:asciiTheme="majorHAnsi" w:hAnsiTheme="majorHAnsi" w:cstheme="majorHAnsi"/>
          <w:lang w:val="en-US"/>
        </w:rPr>
        <w:t xml:space="preserve"> ultimately resulting in decreased access to land-based traditional knowledge and language (</w:t>
      </w:r>
      <w:proofErr w:type="spellStart"/>
      <w:r w:rsidR="00B74C44" w:rsidRPr="004B4A82">
        <w:rPr>
          <w:rFonts w:asciiTheme="majorHAnsi" w:eastAsia="Calibri" w:hAnsiTheme="majorHAnsi" w:cstheme="majorHAnsi"/>
          <w:bCs/>
        </w:rPr>
        <w:t>Markkula</w:t>
      </w:r>
      <w:proofErr w:type="spellEnd"/>
      <w:r w:rsidR="00B74C44" w:rsidRPr="004B4A82">
        <w:rPr>
          <w:rFonts w:asciiTheme="majorHAnsi" w:eastAsia="Calibri" w:hAnsiTheme="majorHAnsi" w:cstheme="majorHAnsi"/>
          <w:bCs/>
        </w:rPr>
        <w:t xml:space="preserve">, </w:t>
      </w:r>
      <w:proofErr w:type="spellStart"/>
      <w:r w:rsidR="00B74C44" w:rsidRPr="004B4A82">
        <w:rPr>
          <w:rFonts w:asciiTheme="majorHAnsi" w:eastAsia="Calibri" w:hAnsiTheme="majorHAnsi" w:cstheme="majorHAnsi"/>
          <w:bCs/>
        </w:rPr>
        <w:t>Turunen</w:t>
      </w:r>
      <w:proofErr w:type="spellEnd"/>
      <w:r w:rsidR="00B74C44" w:rsidRPr="004B4A82">
        <w:rPr>
          <w:rFonts w:asciiTheme="majorHAnsi" w:eastAsia="Calibri" w:hAnsiTheme="majorHAnsi" w:cstheme="majorHAnsi"/>
          <w:bCs/>
        </w:rPr>
        <w:t>, &amp; Rasmus, 2019)</w:t>
      </w:r>
      <w:r w:rsidR="00B74C44">
        <w:rPr>
          <w:rFonts w:asciiTheme="majorHAnsi" w:eastAsia="Calibri" w:hAnsiTheme="majorHAnsi" w:cstheme="majorHAnsi"/>
          <w:bCs/>
        </w:rPr>
        <w:t xml:space="preserve">. </w:t>
      </w:r>
      <w:r w:rsidR="008F2216">
        <w:rPr>
          <w:rFonts w:asciiTheme="majorHAnsi" w:eastAsia="Calibri" w:hAnsiTheme="majorHAnsi" w:cstheme="majorHAnsi"/>
          <w:bCs/>
        </w:rPr>
        <w:t>While financial security is necessary for Inuit families, involvement in employment</w:t>
      </w:r>
      <w:r w:rsidR="00B74C44">
        <w:rPr>
          <w:rFonts w:asciiTheme="majorHAnsi" w:eastAsia="Calibri" w:hAnsiTheme="majorHAnsi" w:cstheme="majorHAnsi"/>
          <w:bCs/>
        </w:rPr>
        <w:t xml:space="preserve">, outside of hunting, </w:t>
      </w:r>
      <w:r w:rsidR="008F2216">
        <w:rPr>
          <w:rFonts w:asciiTheme="majorHAnsi" w:eastAsia="Calibri" w:hAnsiTheme="majorHAnsi" w:cstheme="majorHAnsi"/>
          <w:bCs/>
        </w:rPr>
        <w:t>restric</w:t>
      </w:r>
      <w:r w:rsidR="00B74C44">
        <w:rPr>
          <w:rFonts w:asciiTheme="majorHAnsi" w:eastAsia="Calibri" w:hAnsiTheme="majorHAnsi" w:cstheme="majorHAnsi"/>
          <w:bCs/>
        </w:rPr>
        <w:t>ts</w:t>
      </w:r>
      <w:r w:rsidR="008F2216">
        <w:rPr>
          <w:rFonts w:asciiTheme="majorHAnsi" w:eastAsia="Calibri" w:hAnsiTheme="majorHAnsi" w:cstheme="majorHAnsi"/>
          <w:bCs/>
        </w:rPr>
        <w:t xml:space="preserve"> individuals’ time and ability to participate in traditional methods of harvesting and hunting (Kuhnlein,</w:t>
      </w:r>
      <w:r w:rsidR="001B3A30">
        <w:rPr>
          <w:rFonts w:asciiTheme="majorHAnsi" w:eastAsia="Calibri" w:hAnsiTheme="majorHAnsi" w:cstheme="majorHAnsi"/>
          <w:bCs/>
        </w:rPr>
        <w:t xml:space="preserve"> &amp; </w:t>
      </w:r>
      <w:proofErr w:type="spellStart"/>
      <w:r w:rsidR="001B3A30">
        <w:rPr>
          <w:rFonts w:asciiTheme="majorHAnsi" w:eastAsia="Calibri" w:hAnsiTheme="majorHAnsi" w:cstheme="majorHAnsi"/>
          <w:bCs/>
        </w:rPr>
        <w:t>Receveur</w:t>
      </w:r>
      <w:proofErr w:type="spellEnd"/>
      <w:r w:rsidR="001B3A30">
        <w:rPr>
          <w:rFonts w:asciiTheme="majorHAnsi" w:eastAsia="Calibri" w:hAnsiTheme="majorHAnsi" w:cstheme="majorHAnsi"/>
          <w:bCs/>
        </w:rPr>
        <w:t>,</w:t>
      </w:r>
      <w:r w:rsidR="008F2216">
        <w:rPr>
          <w:rFonts w:asciiTheme="majorHAnsi" w:eastAsia="Calibri" w:hAnsiTheme="majorHAnsi" w:cstheme="majorHAnsi"/>
          <w:bCs/>
        </w:rPr>
        <w:t xml:space="preserve"> 199</w:t>
      </w:r>
      <w:r w:rsidR="001B3A30">
        <w:rPr>
          <w:rFonts w:asciiTheme="majorHAnsi" w:eastAsia="Calibri" w:hAnsiTheme="majorHAnsi" w:cstheme="majorHAnsi"/>
          <w:bCs/>
        </w:rPr>
        <w:t>6</w:t>
      </w:r>
      <w:r w:rsidR="008F2216">
        <w:rPr>
          <w:rFonts w:asciiTheme="majorHAnsi" w:eastAsia="Calibri" w:hAnsiTheme="majorHAnsi" w:cstheme="majorHAnsi"/>
          <w:bCs/>
        </w:rPr>
        <w:t xml:space="preserve">; </w:t>
      </w:r>
      <w:proofErr w:type="spellStart"/>
      <w:r w:rsidR="008F2216">
        <w:rPr>
          <w:rFonts w:asciiTheme="majorHAnsi" w:hAnsiTheme="majorHAnsi" w:cstheme="majorHAnsi"/>
          <w:lang w:val="en-US"/>
        </w:rPr>
        <w:t>A</w:t>
      </w:r>
      <w:r w:rsidR="008F2216" w:rsidRPr="008771F5">
        <w:rPr>
          <w:rFonts w:asciiTheme="majorHAnsi" w:hAnsiTheme="majorHAnsi" w:cstheme="majorHAnsi"/>
          <w:lang w:val="en-US"/>
        </w:rPr>
        <w:t>ndrachuk</w:t>
      </w:r>
      <w:proofErr w:type="spellEnd"/>
      <w:r w:rsidR="001A50C4">
        <w:rPr>
          <w:rFonts w:asciiTheme="majorHAnsi" w:hAnsiTheme="majorHAnsi" w:cstheme="majorHAnsi"/>
          <w:lang w:val="en-US"/>
        </w:rPr>
        <w:t>,</w:t>
      </w:r>
      <w:r w:rsidR="008F2216" w:rsidRPr="008771F5">
        <w:rPr>
          <w:rFonts w:asciiTheme="majorHAnsi" w:hAnsiTheme="majorHAnsi" w:cstheme="majorHAnsi"/>
          <w:lang w:val="en-US"/>
        </w:rPr>
        <w:t xml:space="preserve"> &amp; Smit, 2012)</w:t>
      </w:r>
    </w:p>
    <w:p w14:paraId="479FCCB4" w14:textId="77777777" w:rsidR="00B74C44" w:rsidRDefault="00B74C44" w:rsidP="00986AD3">
      <w:pPr>
        <w:adjustRightInd w:val="0"/>
        <w:snapToGrid w:val="0"/>
        <w:spacing w:before="120" w:after="120"/>
        <w:ind w:firstLine="720"/>
        <w:contextualSpacing/>
        <w:rPr>
          <w:rFonts w:asciiTheme="majorHAnsi" w:eastAsia="Calibri" w:hAnsiTheme="majorHAnsi" w:cstheme="majorHAnsi"/>
          <w:bCs/>
        </w:rPr>
      </w:pPr>
    </w:p>
    <w:p w14:paraId="1BC84CDB" w14:textId="7DB0AF1D" w:rsidR="00986AD3" w:rsidRDefault="00B74C44" w:rsidP="00986AD3">
      <w:pPr>
        <w:adjustRightInd w:val="0"/>
        <w:snapToGrid w:val="0"/>
        <w:spacing w:before="120" w:after="120"/>
        <w:contextualSpacing/>
        <w:rPr>
          <w:rFonts w:asciiTheme="majorHAnsi" w:eastAsia="Calibri" w:hAnsiTheme="majorHAnsi" w:cstheme="majorHAnsi"/>
          <w:bCs/>
        </w:rPr>
      </w:pPr>
      <w:r>
        <w:rPr>
          <w:rFonts w:asciiTheme="majorHAnsi" w:eastAsia="Calibri" w:hAnsiTheme="majorHAnsi" w:cstheme="majorHAnsi"/>
          <w:bCs/>
        </w:rPr>
        <w:t>Climate change is one of the most prevalent challenges facing Arctic communities</w:t>
      </w:r>
      <w:r w:rsidR="001A50C4">
        <w:rPr>
          <w:rFonts w:asciiTheme="majorHAnsi" w:eastAsia="Calibri" w:hAnsiTheme="majorHAnsi" w:cstheme="majorHAnsi"/>
          <w:bCs/>
        </w:rPr>
        <w:t>,</w:t>
      </w:r>
      <w:r>
        <w:rPr>
          <w:rFonts w:asciiTheme="majorHAnsi" w:eastAsia="Calibri" w:hAnsiTheme="majorHAnsi" w:cstheme="majorHAnsi"/>
          <w:bCs/>
        </w:rPr>
        <w:t xml:space="preserve"> and Inuit perspective</w:t>
      </w:r>
      <w:r w:rsidR="001A50C4">
        <w:rPr>
          <w:rFonts w:asciiTheme="majorHAnsi" w:eastAsia="Calibri" w:hAnsiTheme="majorHAnsi" w:cstheme="majorHAnsi"/>
          <w:bCs/>
        </w:rPr>
        <w:t xml:space="preserve"> </w:t>
      </w:r>
      <w:r>
        <w:rPr>
          <w:rFonts w:asciiTheme="majorHAnsi" w:eastAsia="Calibri" w:hAnsiTheme="majorHAnsi" w:cstheme="majorHAnsi"/>
          <w:bCs/>
        </w:rPr>
        <w:t xml:space="preserve">deserves recognition and inclusion in tackling this international concern. </w:t>
      </w:r>
      <w:r w:rsidR="004E3E8D">
        <w:rPr>
          <w:rFonts w:asciiTheme="majorHAnsi" w:eastAsia="Calibri" w:hAnsiTheme="majorHAnsi" w:cstheme="majorHAnsi"/>
          <w:bCs/>
        </w:rPr>
        <w:t xml:space="preserve">Inuit </w:t>
      </w:r>
      <w:r w:rsidR="00993E6D" w:rsidRPr="004E3E8D">
        <w:rPr>
          <w:rFonts w:asciiTheme="majorHAnsi" w:eastAsia="Calibri" w:hAnsiTheme="majorHAnsi" w:cstheme="majorHAnsi"/>
          <w:bCs/>
          <w:iCs/>
        </w:rPr>
        <w:t>Qaujimajatuqangit</w:t>
      </w:r>
      <w:r w:rsidR="004E3E8D" w:rsidRPr="004E3E8D">
        <w:rPr>
          <w:rFonts w:asciiTheme="majorHAnsi" w:eastAsia="Calibri" w:hAnsiTheme="majorHAnsi" w:cstheme="majorHAnsi"/>
          <w:bCs/>
          <w:iCs/>
        </w:rPr>
        <w:t xml:space="preserve"> (</w:t>
      </w:r>
      <w:r w:rsidR="004E3E8D">
        <w:rPr>
          <w:rFonts w:asciiTheme="majorHAnsi" w:eastAsia="Calibri" w:hAnsiTheme="majorHAnsi" w:cstheme="majorHAnsi"/>
          <w:bCs/>
          <w:iCs/>
        </w:rPr>
        <w:t>IQ)</w:t>
      </w:r>
      <w:r w:rsidR="004E3E8D">
        <w:rPr>
          <w:rFonts w:asciiTheme="majorHAnsi" w:eastAsia="Calibri" w:hAnsiTheme="majorHAnsi" w:cstheme="majorHAnsi"/>
          <w:bCs/>
        </w:rPr>
        <w:t xml:space="preserve"> collectively refers to traditional ways of knowing that are </w:t>
      </w:r>
      <w:r w:rsidR="004E3E8D">
        <w:rPr>
          <w:rFonts w:asciiTheme="majorHAnsi" w:hAnsiTheme="majorHAnsi" w:cstheme="majorHAnsi"/>
          <w:lang w:val="en-US"/>
        </w:rPr>
        <w:t>central to all aspects of Inuit livelihood and continues to help individuals navigate the changing Arctic landscape (</w:t>
      </w:r>
      <w:proofErr w:type="spellStart"/>
      <w:r w:rsidR="007833E8" w:rsidRPr="007833E8">
        <w:rPr>
          <w:rFonts w:asciiTheme="majorHAnsi" w:eastAsia="Times New Roman" w:hAnsiTheme="majorHAnsi" w:cstheme="majorHAnsi"/>
          <w:color w:val="000000"/>
        </w:rPr>
        <w:t>Bonesteel</w:t>
      </w:r>
      <w:proofErr w:type="spellEnd"/>
      <w:r w:rsidR="007833E8" w:rsidRPr="007833E8">
        <w:rPr>
          <w:rFonts w:asciiTheme="majorHAnsi" w:eastAsia="Times New Roman" w:hAnsiTheme="majorHAnsi" w:cstheme="majorHAnsi"/>
          <w:color w:val="000000"/>
        </w:rPr>
        <w:t>, 2006</w:t>
      </w:r>
      <w:r w:rsidR="004E3E8D">
        <w:rPr>
          <w:rFonts w:asciiTheme="majorHAnsi" w:hAnsiTheme="majorHAnsi" w:cstheme="majorHAnsi"/>
          <w:lang w:val="en-US"/>
        </w:rPr>
        <w:t>).</w:t>
      </w:r>
      <w:r w:rsidR="00986AD3" w:rsidRPr="00986AD3">
        <w:rPr>
          <w:rFonts w:asciiTheme="majorHAnsi" w:eastAsia="Calibri" w:hAnsiTheme="majorHAnsi" w:cstheme="majorHAnsi"/>
          <w:bCs/>
        </w:rPr>
        <w:t xml:space="preserve"> </w:t>
      </w:r>
      <w:r w:rsidR="00986AD3">
        <w:rPr>
          <w:rFonts w:asciiTheme="majorHAnsi" w:eastAsia="Calibri" w:hAnsiTheme="majorHAnsi" w:cstheme="majorHAnsi"/>
          <w:bCs/>
        </w:rPr>
        <w:t xml:space="preserve">Homage to historical struggles, resilience and collective desires for healthy, sovereign futures amongst Inuit communities is crucial in developing an understanding of the current impact climate change has on Inuit life (Griffin, 2019). IQ is especially useful when discussing long-term environmental observations, patterns, cycles and changes related to </w:t>
      </w:r>
      <w:r w:rsidR="00986AD3">
        <w:rPr>
          <w:rFonts w:asciiTheme="majorHAnsi" w:eastAsia="Calibri" w:hAnsiTheme="majorHAnsi" w:cstheme="majorHAnsi"/>
          <w:bCs/>
        </w:rPr>
        <w:lastRenderedPageBreak/>
        <w:t>climate change (</w:t>
      </w:r>
      <w:proofErr w:type="spellStart"/>
      <w:r w:rsidR="007833E8" w:rsidRPr="007833E8">
        <w:rPr>
          <w:rFonts w:asciiTheme="majorHAnsi" w:eastAsia="Times New Roman" w:hAnsiTheme="majorHAnsi" w:cstheme="majorHAnsi"/>
          <w:color w:val="000000"/>
        </w:rPr>
        <w:t>Bonesteel</w:t>
      </w:r>
      <w:proofErr w:type="spellEnd"/>
      <w:r w:rsidR="007833E8" w:rsidRPr="007833E8">
        <w:rPr>
          <w:rFonts w:asciiTheme="majorHAnsi" w:eastAsia="Times New Roman" w:hAnsiTheme="majorHAnsi" w:cstheme="majorHAnsi"/>
          <w:color w:val="000000"/>
        </w:rPr>
        <w:t>, 2006</w:t>
      </w:r>
      <w:r w:rsidR="00986AD3">
        <w:rPr>
          <w:rFonts w:asciiTheme="majorHAnsi" w:eastAsia="Calibri" w:hAnsiTheme="majorHAnsi" w:cstheme="majorHAnsi"/>
          <w:bCs/>
        </w:rPr>
        <w:t xml:space="preserve">). </w:t>
      </w:r>
      <w:r w:rsidR="004B4A82" w:rsidRPr="004B4A82">
        <w:rPr>
          <w:rFonts w:asciiTheme="majorHAnsi" w:hAnsiTheme="majorHAnsi" w:cstheme="majorHAnsi"/>
          <w:lang w:val="en-US"/>
        </w:rPr>
        <w:t>Changes in ecosystems alter Indigenous Peoples’ relationship with the land by disrupting traditional cultural practices and understandings attached to the physical land (</w:t>
      </w:r>
      <w:proofErr w:type="spellStart"/>
      <w:r w:rsidR="004B4A82" w:rsidRPr="004B4A82">
        <w:rPr>
          <w:rFonts w:asciiTheme="majorHAnsi" w:eastAsia="Calibri" w:hAnsiTheme="majorHAnsi" w:cstheme="majorHAnsi"/>
          <w:bCs/>
        </w:rPr>
        <w:t>Markkula</w:t>
      </w:r>
      <w:proofErr w:type="spellEnd"/>
      <w:r w:rsidR="004B4A82" w:rsidRPr="004B4A82">
        <w:rPr>
          <w:rFonts w:asciiTheme="majorHAnsi" w:eastAsia="Calibri" w:hAnsiTheme="majorHAnsi" w:cstheme="majorHAnsi"/>
          <w:bCs/>
        </w:rPr>
        <w:t xml:space="preserve">, </w:t>
      </w:r>
      <w:proofErr w:type="spellStart"/>
      <w:r w:rsidR="004B4A82" w:rsidRPr="004B4A82">
        <w:rPr>
          <w:rFonts w:asciiTheme="majorHAnsi" w:eastAsia="Calibri" w:hAnsiTheme="majorHAnsi" w:cstheme="majorHAnsi"/>
          <w:bCs/>
        </w:rPr>
        <w:t>Turunen</w:t>
      </w:r>
      <w:proofErr w:type="spellEnd"/>
      <w:r w:rsidR="004B4A82" w:rsidRPr="004B4A82">
        <w:rPr>
          <w:rFonts w:asciiTheme="majorHAnsi" w:eastAsia="Calibri" w:hAnsiTheme="majorHAnsi" w:cstheme="majorHAnsi"/>
          <w:bCs/>
        </w:rPr>
        <w:t>, &amp; Rasmus, 2019)</w:t>
      </w:r>
      <w:r w:rsidR="00781B17">
        <w:rPr>
          <w:rFonts w:asciiTheme="majorHAnsi" w:eastAsia="Calibri" w:hAnsiTheme="majorHAnsi" w:cstheme="majorHAnsi"/>
          <w:bCs/>
        </w:rPr>
        <w:t xml:space="preserve">. </w:t>
      </w:r>
      <w:r w:rsidR="00986AD3">
        <w:rPr>
          <w:rFonts w:asciiTheme="majorHAnsi" w:eastAsia="Calibri" w:hAnsiTheme="majorHAnsi" w:cstheme="majorHAnsi"/>
          <w:bCs/>
        </w:rPr>
        <w:t>Environmental concerns related to climate change impact animal habitats and ultimately, the ability of Inuit communities to uphold traditional subsistence activities (</w:t>
      </w:r>
      <w:proofErr w:type="spellStart"/>
      <w:r w:rsidR="007833E8" w:rsidRPr="007833E8">
        <w:rPr>
          <w:rFonts w:asciiTheme="majorHAnsi" w:eastAsia="Times New Roman" w:hAnsiTheme="majorHAnsi" w:cstheme="majorHAnsi"/>
          <w:color w:val="000000"/>
        </w:rPr>
        <w:t>Bonesteel</w:t>
      </w:r>
      <w:proofErr w:type="spellEnd"/>
      <w:r w:rsidR="007833E8" w:rsidRPr="007833E8">
        <w:rPr>
          <w:rFonts w:asciiTheme="majorHAnsi" w:eastAsia="Times New Roman" w:hAnsiTheme="majorHAnsi" w:cstheme="majorHAnsi"/>
          <w:color w:val="000000"/>
        </w:rPr>
        <w:t>, 2006</w:t>
      </w:r>
      <w:r w:rsidR="00986AD3">
        <w:rPr>
          <w:rFonts w:asciiTheme="majorHAnsi" w:eastAsia="Calibri" w:hAnsiTheme="majorHAnsi" w:cstheme="majorHAnsi"/>
          <w:bCs/>
        </w:rPr>
        <w:t xml:space="preserve">). </w:t>
      </w:r>
      <w:r w:rsidR="004B4A82" w:rsidRPr="004B4A82">
        <w:rPr>
          <w:rFonts w:asciiTheme="majorHAnsi" w:eastAsia="Calibri" w:hAnsiTheme="majorHAnsi" w:cstheme="majorHAnsi"/>
          <w:bCs/>
        </w:rPr>
        <w:t>Utilizing IQ in conjunction with scientific knowledge is valuable and helps create a holistic understanding of the relationship between the environment and humans (</w:t>
      </w:r>
      <w:proofErr w:type="spellStart"/>
      <w:r w:rsidR="004B4A82" w:rsidRPr="004B4A82">
        <w:rPr>
          <w:rFonts w:asciiTheme="majorHAnsi" w:eastAsia="Calibri" w:hAnsiTheme="majorHAnsi" w:cstheme="majorHAnsi"/>
          <w:bCs/>
        </w:rPr>
        <w:t>Markkula</w:t>
      </w:r>
      <w:proofErr w:type="spellEnd"/>
      <w:r w:rsidR="004B4A82" w:rsidRPr="004B4A82">
        <w:rPr>
          <w:rFonts w:asciiTheme="majorHAnsi" w:eastAsia="Calibri" w:hAnsiTheme="majorHAnsi" w:cstheme="majorHAnsi"/>
          <w:bCs/>
        </w:rPr>
        <w:t xml:space="preserve">, </w:t>
      </w:r>
      <w:proofErr w:type="spellStart"/>
      <w:r w:rsidR="004B4A82" w:rsidRPr="004B4A82">
        <w:rPr>
          <w:rFonts w:asciiTheme="majorHAnsi" w:eastAsia="Calibri" w:hAnsiTheme="majorHAnsi" w:cstheme="majorHAnsi"/>
          <w:bCs/>
        </w:rPr>
        <w:t>Turunen</w:t>
      </w:r>
      <w:proofErr w:type="spellEnd"/>
      <w:r w:rsidR="004B4A82" w:rsidRPr="004B4A82">
        <w:rPr>
          <w:rFonts w:asciiTheme="majorHAnsi" w:eastAsia="Calibri" w:hAnsiTheme="majorHAnsi" w:cstheme="majorHAnsi"/>
          <w:bCs/>
        </w:rPr>
        <w:t>, &amp; Rasmus, 2019)</w:t>
      </w:r>
      <w:r w:rsidR="00986AD3">
        <w:rPr>
          <w:rFonts w:asciiTheme="majorHAnsi" w:eastAsia="Calibri" w:hAnsiTheme="majorHAnsi" w:cstheme="majorHAnsi"/>
          <w:bCs/>
        </w:rPr>
        <w:t xml:space="preserve">. Invaluable information regarding natural ecosystems exists in the experience of Indigenous Peoples in Canada because dependency on the land and its resources for survival develops an intimacy with the environment </w:t>
      </w:r>
      <w:r w:rsidR="0075519B">
        <w:rPr>
          <w:rFonts w:asciiTheme="majorHAnsi" w:eastAsia="Calibri" w:hAnsiTheme="majorHAnsi" w:cstheme="majorHAnsi"/>
          <w:bCs/>
        </w:rPr>
        <w:t xml:space="preserve">that </w:t>
      </w:r>
      <w:r w:rsidR="00986AD3">
        <w:rPr>
          <w:rFonts w:asciiTheme="majorHAnsi" w:eastAsia="Calibri" w:hAnsiTheme="majorHAnsi" w:cstheme="majorHAnsi"/>
          <w:bCs/>
        </w:rPr>
        <w:t>many people never experience (Carmack &amp; Macdonald, 2008). Further, the incorporation of IQ is essential in contemporary environmental research to ensure environmental risks and directions of development are meaningful and accurate for those at the forefront of climate change (</w:t>
      </w:r>
      <w:proofErr w:type="spellStart"/>
      <w:r w:rsidR="007833E8" w:rsidRPr="007833E8">
        <w:rPr>
          <w:rFonts w:asciiTheme="majorHAnsi" w:eastAsia="Times New Roman" w:hAnsiTheme="majorHAnsi" w:cstheme="majorHAnsi"/>
          <w:color w:val="000000"/>
        </w:rPr>
        <w:t>Bonesteel</w:t>
      </w:r>
      <w:proofErr w:type="spellEnd"/>
      <w:r w:rsidR="007833E8" w:rsidRPr="007833E8">
        <w:rPr>
          <w:rFonts w:asciiTheme="majorHAnsi" w:eastAsia="Times New Roman" w:hAnsiTheme="majorHAnsi" w:cstheme="majorHAnsi"/>
          <w:color w:val="000000"/>
        </w:rPr>
        <w:t>, 2006</w:t>
      </w:r>
      <w:r w:rsidR="00986AD3">
        <w:rPr>
          <w:rFonts w:asciiTheme="majorHAnsi" w:eastAsia="Calibri" w:hAnsiTheme="majorHAnsi" w:cstheme="majorHAnsi"/>
          <w:bCs/>
        </w:rPr>
        <w:t xml:space="preserve">). </w:t>
      </w:r>
    </w:p>
    <w:p w14:paraId="214AA138" w14:textId="77777777" w:rsidR="00986AD3" w:rsidRDefault="00986AD3" w:rsidP="00986AD3">
      <w:pPr>
        <w:adjustRightInd w:val="0"/>
        <w:snapToGrid w:val="0"/>
        <w:spacing w:before="120" w:after="120"/>
        <w:contextualSpacing/>
        <w:rPr>
          <w:rFonts w:asciiTheme="majorHAnsi" w:eastAsia="Calibri" w:hAnsiTheme="majorHAnsi" w:cstheme="majorHAnsi"/>
          <w:bCs/>
        </w:rPr>
      </w:pPr>
    </w:p>
    <w:p w14:paraId="7C07E0CB" w14:textId="1D5970E3" w:rsidR="004A055F" w:rsidRPr="00986AD3" w:rsidRDefault="004A055F" w:rsidP="00986AD3">
      <w:pPr>
        <w:adjustRightInd w:val="0"/>
        <w:snapToGrid w:val="0"/>
        <w:spacing w:before="120" w:after="120"/>
        <w:contextualSpacing/>
        <w:rPr>
          <w:rFonts w:asciiTheme="majorHAnsi" w:eastAsia="Calibri" w:hAnsiTheme="majorHAnsi" w:cstheme="majorHAnsi"/>
          <w:bCs/>
        </w:rPr>
      </w:pPr>
      <w:r w:rsidRPr="00986AD3">
        <w:rPr>
          <w:rFonts w:asciiTheme="majorHAnsi" w:eastAsia="Calibri" w:hAnsiTheme="majorHAnsi" w:cstheme="majorHAnsi"/>
          <w:bCs/>
        </w:rPr>
        <w:t xml:space="preserve">An exploration of the Tuktoyaktuk community context, current Indigenous Food Sovereignty (IFS) efforts in </w:t>
      </w:r>
      <w:r w:rsidR="008718C4">
        <w:rPr>
          <w:rFonts w:asciiTheme="majorHAnsi" w:eastAsia="Calibri" w:hAnsiTheme="majorHAnsi" w:cstheme="majorHAnsi"/>
          <w:bCs/>
        </w:rPr>
        <w:t>North</w:t>
      </w:r>
      <w:r w:rsidRPr="00986AD3">
        <w:rPr>
          <w:rFonts w:asciiTheme="majorHAnsi" w:eastAsia="Calibri" w:hAnsiTheme="majorHAnsi" w:cstheme="majorHAnsi"/>
          <w:bCs/>
        </w:rPr>
        <w:t xml:space="preserve">ern Canada </w:t>
      </w:r>
      <w:r w:rsidR="0075519B">
        <w:rPr>
          <w:rFonts w:asciiTheme="majorHAnsi" w:eastAsia="Calibri" w:hAnsiTheme="majorHAnsi" w:cstheme="majorHAnsi"/>
          <w:bCs/>
        </w:rPr>
        <w:t>and</w:t>
      </w:r>
      <w:r w:rsidRPr="00986AD3">
        <w:rPr>
          <w:rFonts w:asciiTheme="majorHAnsi" w:eastAsia="Calibri" w:hAnsiTheme="majorHAnsi" w:cstheme="majorHAnsi"/>
          <w:bCs/>
        </w:rPr>
        <w:t xml:space="preserve"> in the community, the impacts of climate change on IFS </w:t>
      </w:r>
      <w:r w:rsidR="0075519B">
        <w:rPr>
          <w:rFonts w:asciiTheme="majorHAnsi" w:eastAsia="Calibri" w:hAnsiTheme="majorHAnsi" w:cstheme="majorHAnsi"/>
          <w:bCs/>
        </w:rPr>
        <w:t xml:space="preserve">as well as the </w:t>
      </w:r>
      <w:r>
        <w:rPr>
          <w:rFonts w:asciiTheme="majorHAnsi" w:eastAsia="Calibri" w:hAnsiTheme="majorHAnsi" w:cstheme="majorHAnsi"/>
          <w:bCs/>
        </w:rPr>
        <w:t>c</w:t>
      </w:r>
      <w:r w:rsidRPr="004A055F">
        <w:rPr>
          <w:rFonts w:asciiTheme="majorHAnsi" w:eastAsia="Calibri" w:hAnsiTheme="majorHAnsi" w:cstheme="majorHAnsi"/>
          <w:bCs/>
        </w:rPr>
        <w:t>ommunity response to these challenges will enable this paper to set the stage for the research project</w:t>
      </w:r>
      <w:r>
        <w:rPr>
          <w:rFonts w:asciiTheme="majorHAnsi" w:eastAsia="Calibri" w:hAnsiTheme="majorHAnsi" w:cstheme="majorHAnsi"/>
          <w:bCs/>
        </w:rPr>
        <w:t>,</w:t>
      </w:r>
      <w:r w:rsidRPr="004A055F">
        <w:rPr>
          <w:rFonts w:asciiTheme="majorHAnsi" w:eastAsia="Calibri" w:hAnsiTheme="majorHAnsi" w:cstheme="majorHAnsi"/>
          <w:bCs/>
        </w:rPr>
        <w:t xml:space="preserve"> </w:t>
      </w:r>
      <w:r w:rsidRPr="004A055F">
        <w:rPr>
          <w:rFonts w:asciiTheme="majorHAnsi" w:eastAsia="Calibri" w:hAnsiTheme="majorHAnsi" w:cstheme="majorHAnsi"/>
          <w:bCs/>
          <w:i/>
        </w:rPr>
        <w:t>Four Stories About Food Sovereignty</w:t>
      </w:r>
      <w:r w:rsidRPr="004A055F">
        <w:rPr>
          <w:rFonts w:asciiTheme="majorHAnsi" w:eastAsia="Calibri" w:hAnsiTheme="majorHAnsi" w:cstheme="majorHAnsi"/>
          <w:bCs/>
        </w:rPr>
        <w:t>. Th</w:t>
      </w:r>
      <w:r>
        <w:rPr>
          <w:rFonts w:asciiTheme="majorHAnsi" w:eastAsia="Calibri" w:hAnsiTheme="majorHAnsi" w:cstheme="majorHAnsi"/>
          <w:bCs/>
        </w:rPr>
        <w:t xml:space="preserve">e focus of this </w:t>
      </w:r>
      <w:r w:rsidRPr="004A055F">
        <w:rPr>
          <w:rFonts w:asciiTheme="majorHAnsi" w:eastAsia="Calibri" w:hAnsiTheme="majorHAnsi" w:cstheme="majorHAnsi"/>
          <w:bCs/>
        </w:rPr>
        <w:t xml:space="preserve">paper </w:t>
      </w:r>
      <w:r>
        <w:rPr>
          <w:rFonts w:asciiTheme="majorHAnsi" w:eastAsia="Calibri" w:hAnsiTheme="majorHAnsi" w:cstheme="majorHAnsi"/>
          <w:bCs/>
        </w:rPr>
        <w:t xml:space="preserve">is to gain an understanding of the impacts of the </w:t>
      </w:r>
      <w:r w:rsidRPr="004A055F">
        <w:rPr>
          <w:rFonts w:asciiTheme="majorHAnsi" w:eastAsia="Calibri" w:hAnsiTheme="majorHAnsi" w:cstheme="majorHAnsi"/>
          <w:bCs/>
        </w:rPr>
        <w:t xml:space="preserve">climate crisis in </w:t>
      </w:r>
      <w:r>
        <w:rPr>
          <w:rFonts w:asciiTheme="majorHAnsi" w:eastAsia="Calibri" w:hAnsiTheme="majorHAnsi" w:cstheme="majorHAnsi"/>
          <w:bCs/>
        </w:rPr>
        <w:t xml:space="preserve">Tuktoyaktuk and gauge </w:t>
      </w:r>
      <w:r w:rsidRPr="004A055F">
        <w:rPr>
          <w:rFonts w:asciiTheme="majorHAnsi" w:eastAsia="Calibri" w:hAnsiTheme="majorHAnsi" w:cstheme="majorHAnsi"/>
          <w:bCs/>
        </w:rPr>
        <w:t xml:space="preserve">the future of IFS efforts in this community. </w:t>
      </w:r>
    </w:p>
    <w:p w14:paraId="204380E9" w14:textId="64DB351A" w:rsidR="004A055F" w:rsidRPr="004A055F" w:rsidRDefault="004A055F" w:rsidP="00986AD3">
      <w:pPr>
        <w:adjustRightInd w:val="0"/>
        <w:snapToGrid w:val="0"/>
        <w:spacing w:before="120" w:after="120"/>
        <w:contextualSpacing/>
        <w:rPr>
          <w:rFonts w:asciiTheme="majorHAnsi" w:eastAsia="Calibri" w:hAnsiTheme="majorHAnsi" w:cstheme="majorHAnsi"/>
          <w:bCs/>
        </w:rPr>
      </w:pPr>
    </w:p>
    <w:p w14:paraId="7BD5B867" w14:textId="7DFCE3FB" w:rsidR="008E6FB5" w:rsidRPr="00633991" w:rsidRDefault="008E6FB5" w:rsidP="00986AD3">
      <w:pPr>
        <w:adjustRightInd w:val="0"/>
        <w:snapToGrid w:val="0"/>
        <w:spacing w:before="120" w:after="120"/>
        <w:contextualSpacing/>
        <w:rPr>
          <w:rFonts w:asciiTheme="majorHAnsi" w:eastAsia="Calibri" w:hAnsiTheme="majorHAnsi" w:cstheme="majorHAnsi"/>
          <w:b/>
          <w:bCs/>
        </w:rPr>
      </w:pPr>
      <w:r w:rsidRPr="00633991">
        <w:rPr>
          <w:rFonts w:asciiTheme="majorHAnsi" w:eastAsia="Calibri" w:hAnsiTheme="majorHAnsi" w:cstheme="majorHAnsi"/>
          <w:b/>
          <w:bCs/>
        </w:rPr>
        <w:t xml:space="preserve">Tuktoyaktuk Community Context </w:t>
      </w:r>
    </w:p>
    <w:p w14:paraId="29C97A01" w14:textId="25DBB5E2" w:rsidR="00C75A79" w:rsidRDefault="00244A4D" w:rsidP="00986AD3">
      <w:pPr>
        <w:pStyle w:val="NormalWeb"/>
        <w:contextualSpacing/>
        <w:rPr>
          <w:rFonts w:asciiTheme="majorHAnsi" w:hAnsiTheme="majorHAnsi" w:cstheme="majorHAnsi"/>
        </w:rPr>
      </w:pPr>
      <w:r w:rsidRPr="00633991">
        <w:rPr>
          <w:rFonts w:asciiTheme="majorHAnsi" w:hAnsiTheme="majorHAnsi" w:cstheme="majorHAnsi"/>
        </w:rPr>
        <w:t>Tuktoyaktuk</w:t>
      </w:r>
      <w:r w:rsidR="00933B8A">
        <w:rPr>
          <w:rFonts w:asciiTheme="majorHAnsi" w:hAnsiTheme="majorHAnsi" w:cstheme="majorHAnsi"/>
        </w:rPr>
        <w:t xml:space="preserve"> is an Inuit community of approximately 900 people,</w:t>
      </w:r>
      <w:r w:rsidRPr="00633991">
        <w:rPr>
          <w:rFonts w:asciiTheme="majorHAnsi" w:hAnsiTheme="majorHAnsi" w:cstheme="majorHAnsi"/>
        </w:rPr>
        <w:t xml:space="preserve"> located in the</w:t>
      </w:r>
      <w:r w:rsidR="00933B8A">
        <w:rPr>
          <w:rFonts w:asciiTheme="majorHAnsi" w:hAnsiTheme="majorHAnsi" w:cstheme="majorHAnsi"/>
        </w:rPr>
        <w:t xml:space="preserve"> Western Canadian Arctic, within the</w:t>
      </w:r>
      <w:r w:rsidRPr="00633991">
        <w:rPr>
          <w:rFonts w:asciiTheme="majorHAnsi" w:hAnsiTheme="majorHAnsi" w:cstheme="majorHAnsi"/>
        </w:rPr>
        <w:t xml:space="preserve"> Inuvialuit Settlement Region </w:t>
      </w:r>
      <w:r w:rsidR="00933B8A">
        <w:rPr>
          <w:rFonts w:asciiTheme="majorHAnsi" w:hAnsiTheme="majorHAnsi" w:cstheme="majorHAnsi"/>
        </w:rPr>
        <w:t xml:space="preserve">of the </w:t>
      </w:r>
      <w:r w:rsidR="008718C4">
        <w:rPr>
          <w:rFonts w:asciiTheme="majorHAnsi" w:hAnsiTheme="majorHAnsi" w:cstheme="majorHAnsi"/>
        </w:rPr>
        <w:t>North</w:t>
      </w:r>
      <w:r w:rsidR="00933B8A">
        <w:rPr>
          <w:rFonts w:asciiTheme="majorHAnsi" w:hAnsiTheme="majorHAnsi" w:cstheme="majorHAnsi"/>
        </w:rPr>
        <w:t xml:space="preserve">west Territories. </w:t>
      </w:r>
      <w:r w:rsidR="000529B1">
        <w:rPr>
          <w:rFonts w:asciiTheme="majorHAnsi" w:hAnsiTheme="majorHAnsi" w:cstheme="majorHAnsi"/>
        </w:rPr>
        <w:t xml:space="preserve">The Tuktoyaktuk community resides on the shores of the Beaufort Sea and </w:t>
      </w:r>
      <w:r w:rsidR="00A20460">
        <w:rPr>
          <w:rFonts w:asciiTheme="majorHAnsi" w:hAnsiTheme="majorHAnsi" w:cstheme="majorHAnsi"/>
        </w:rPr>
        <w:t xml:space="preserve">residents </w:t>
      </w:r>
      <w:r w:rsidR="000529B1">
        <w:rPr>
          <w:rFonts w:asciiTheme="majorHAnsi" w:hAnsiTheme="majorHAnsi" w:cstheme="majorHAnsi"/>
        </w:rPr>
        <w:t xml:space="preserve">are descendants from the </w:t>
      </w:r>
      <w:proofErr w:type="spellStart"/>
      <w:r w:rsidR="000529B1">
        <w:rPr>
          <w:rFonts w:asciiTheme="majorHAnsi" w:hAnsiTheme="majorHAnsi" w:cstheme="majorHAnsi"/>
        </w:rPr>
        <w:t>Siglit</w:t>
      </w:r>
      <w:proofErr w:type="spellEnd"/>
      <w:r w:rsidR="000529B1">
        <w:rPr>
          <w:rFonts w:asciiTheme="majorHAnsi" w:hAnsiTheme="majorHAnsi" w:cstheme="majorHAnsi"/>
        </w:rPr>
        <w:t xml:space="preserve"> people</w:t>
      </w:r>
      <w:r w:rsidR="00A20460">
        <w:rPr>
          <w:rFonts w:asciiTheme="majorHAnsi" w:hAnsiTheme="majorHAnsi" w:cstheme="majorHAnsi"/>
        </w:rPr>
        <w:t>,</w:t>
      </w:r>
      <w:r w:rsidR="000529B1">
        <w:rPr>
          <w:rFonts w:asciiTheme="majorHAnsi" w:hAnsiTheme="majorHAnsi" w:cstheme="majorHAnsi"/>
        </w:rPr>
        <w:t xml:space="preserve"> who were distinctly sea-oriented and traditionally fur trappers, hunters and herders (</w:t>
      </w:r>
      <w:proofErr w:type="spellStart"/>
      <w:r w:rsidR="000529B1">
        <w:rPr>
          <w:rFonts w:asciiTheme="majorHAnsi" w:hAnsiTheme="majorHAnsi" w:cstheme="majorHAnsi"/>
        </w:rPr>
        <w:t>Alunik</w:t>
      </w:r>
      <w:proofErr w:type="spellEnd"/>
      <w:r w:rsidR="000529B1">
        <w:rPr>
          <w:rFonts w:asciiTheme="majorHAnsi" w:hAnsiTheme="majorHAnsi" w:cstheme="majorHAnsi"/>
        </w:rPr>
        <w:t xml:space="preserve"> et al., 2003; Usher, 19</w:t>
      </w:r>
      <w:r w:rsidR="00664E6C">
        <w:rPr>
          <w:rFonts w:asciiTheme="majorHAnsi" w:hAnsiTheme="majorHAnsi" w:cstheme="majorHAnsi"/>
        </w:rPr>
        <w:t>93</w:t>
      </w:r>
      <w:r w:rsidR="000529B1">
        <w:rPr>
          <w:rFonts w:asciiTheme="majorHAnsi" w:hAnsiTheme="majorHAnsi" w:cstheme="majorHAnsi"/>
        </w:rPr>
        <w:t xml:space="preserve">). </w:t>
      </w:r>
      <w:r w:rsidR="00C75A79">
        <w:rPr>
          <w:rFonts w:asciiTheme="majorHAnsi" w:hAnsiTheme="majorHAnsi" w:cstheme="majorHAnsi"/>
        </w:rPr>
        <w:t>During the early post-contact period, the Mackenzie Inuit who resided around the Beaufort Sea were almost entirely eradicated due to exposure to smallpox and other foreign diseases; this significant loss also resulted in a loss of IQ particular to the region (Carmack &amp; Macdonald, 2008). Starting in the 1960s, Tuktoyaktuk’s harbour became an epicentre for oil and gas after the discovery of on</w:t>
      </w:r>
      <w:r w:rsidR="0075519B">
        <w:rPr>
          <w:rFonts w:asciiTheme="majorHAnsi" w:hAnsiTheme="majorHAnsi" w:cstheme="majorHAnsi"/>
        </w:rPr>
        <w:t>shore</w:t>
      </w:r>
      <w:r w:rsidR="00C75A79">
        <w:rPr>
          <w:rFonts w:asciiTheme="majorHAnsi" w:hAnsiTheme="majorHAnsi" w:cstheme="majorHAnsi"/>
        </w:rPr>
        <w:t xml:space="preserve"> and off</w:t>
      </w:r>
      <w:r w:rsidR="0075519B">
        <w:rPr>
          <w:rFonts w:asciiTheme="majorHAnsi" w:hAnsiTheme="majorHAnsi" w:cstheme="majorHAnsi"/>
        </w:rPr>
        <w:t>s</w:t>
      </w:r>
      <w:r w:rsidR="00C75A79">
        <w:rPr>
          <w:rFonts w:asciiTheme="majorHAnsi" w:hAnsiTheme="majorHAnsi" w:cstheme="majorHAnsi"/>
        </w:rPr>
        <w:t>hore reserves (</w:t>
      </w:r>
      <w:proofErr w:type="spellStart"/>
      <w:r w:rsidR="001B3A30" w:rsidRPr="007833E8">
        <w:rPr>
          <w:rFonts w:asciiTheme="majorHAnsi" w:hAnsiTheme="majorHAnsi" w:cstheme="majorHAnsi"/>
          <w:color w:val="000000"/>
        </w:rPr>
        <w:t>Bonestee</w:t>
      </w:r>
      <w:r w:rsidR="001B3A30">
        <w:rPr>
          <w:rFonts w:asciiTheme="majorHAnsi" w:hAnsiTheme="majorHAnsi" w:cstheme="majorHAnsi"/>
          <w:color w:val="000000"/>
        </w:rPr>
        <w:t>l</w:t>
      </w:r>
      <w:proofErr w:type="spellEnd"/>
      <w:r w:rsidR="001B3A30">
        <w:rPr>
          <w:rFonts w:asciiTheme="majorHAnsi" w:hAnsiTheme="majorHAnsi" w:cstheme="majorHAnsi"/>
          <w:color w:val="000000"/>
        </w:rPr>
        <w:t xml:space="preserve">, </w:t>
      </w:r>
      <w:r w:rsidR="00A73DB8">
        <w:rPr>
          <w:rFonts w:asciiTheme="majorHAnsi" w:hAnsiTheme="majorHAnsi" w:cstheme="majorHAnsi"/>
          <w:color w:val="000000"/>
        </w:rPr>
        <w:t>2006).</w:t>
      </w:r>
      <w:r w:rsidR="00C75A79">
        <w:rPr>
          <w:rFonts w:asciiTheme="majorHAnsi" w:hAnsiTheme="majorHAnsi" w:cstheme="majorHAnsi"/>
        </w:rPr>
        <w:t xml:space="preserve"> Residents remember the best fishing spot as a source of diversity, rare in Arctic aquatic ecosystems, </w:t>
      </w:r>
      <w:r w:rsidR="00986AD3">
        <w:rPr>
          <w:rFonts w:asciiTheme="majorHAnsi" w:hAnsiTheme="majorHAnsi" w:cstheme="majorHAnsi"/>
        </w:rPr>
        <w:t xml:space="preserve">wherein </w:t>
      </w:r>
      <w:r w:rsidR="00C75A79">
        <w:rPr>
          <w:rFonts w:asciiTheme="majorHAnsi" w:hAnsiTheme="majorHAnsi" w:cstheme="majorHAnsi"/>
        </w:rPr>
        <w:t xml:space="preserve">fisherman could bring up to 14 different species home after a day’s work; unfortunately, oil industries decisively built docks for extraction and export at this location, prohibiting residents from fishing there (Carmack &amp; Macdonald, 2008). </w:t>
      </w:r>
    </w:p>
    <w:p w14:paraId="0C2BA29A" w14:textId="710AF30F" w:rsidR="00C75A79" w:rsidRDefault="00C75A79" w:rsidP="00986AD3">
      <w:pPr>
        <w:pStyle w:val="NormalWeb"/>
        <w:ind w:firstLine="720"/>
        <w:contextualSpacing/>
        <w:rPr>
          <w:rFonts w:asciiTheme="majorHAnsi" w:hAnsiTheme="majorHAnsi" w:cstheme="majorHAnsi"/>
        </w:rPr>
      </w:pPr>
    </w:p>
    <w:p w14:paraId="2BC9CA7D" w14:textId="520C45D4" w:rsidR="00426F82" w:rsidRPr="000F2A57" w:rsidRDefault="00986AD3" w:rsidP="000F2A57">
      <w:pPr>
        <w:pStyle w:val="NormalWeb"/>
        <w:contextualSpacing/>
        <w:rPr>
          <w:rFonts w:asciiTheme="majorHAnsi" w:hAnsiTheme="majorHAnsi" w:cstheme="majorHAnsi"/>
        </w:rPr>
      </w:pPr>
      <w:r>
        <w:rPr>
          <w:rFonts w:asciiTheme="majorHAnsi" w:hAnsiTheme="majorHAnsi" w:cstheme="majorHAnsi"/>
        </w:rPr>
        <w:t xml:space="preserve">In terms of climate change impacts, all of the infrastructure within the community is currently at risk due to the location of the </w:t>
      </w:r>
      <w:r w:rsidR="005B0C5F">
        <w:rPr>
          <w:rFonts w:asciiTheme="majorHAnsi" w:hAnsiTheme="majorHAnsi" w:cstheme="majorHAnsi"/>
        </w:rPr>
        <w:t>settlement in relation to coastal shores and unprecedented rates of coastal erosion and permafrost deterioration (</w:t>
      </w:r>
      <w:proofErr w:type="spellStart"/>
      <w:r w:rsidR="005B0C5F">
        <w:rPr>
          <w:rFonts w:asciiTheme="majorHAnsi" w:hAnsiTheme="majorHAnsi" w:cstheme="majorHAnsi"/>
        </w:rPr>
        <w:t>Andrachuk</w:t>
      </w:r>
      <w:proofErr w:type="spellEnd"/>
      <w:r w:rsidR="005B0C5F">
        <w:rPr>
          <w:rFonts w:asciiTheme="majorHAnsi" w:hAnsiTheme="majorHAnsi" w:cstheme="majorHAnsi"/>
        </w:rPr>
        <w:t xml:space="preserve"> &amp; Smit, 2012). Tuktoyaktuk was built on a low and narrow permafrost peninsula consisting of ice lenses, glacial deposits and a surface layer of vegetation (</w:t>
      </w:r>
      <w:proofErr w:type="spellStart"/>
      <w:r w:rsidR="005B0C5F">
        <w:rPr>
          <w:rFonts w:asciiTheme="majorHAnsi" w:hAnsiTheme="majorHAnsi" w:cstheme="majorHAnsi"/>
        </w:rPr>
        <w:t>Andrachuk</w:t>
      </w:r>
      <w:proofErr w:type="spellEnd"/>
      <w:r w:rsidR="005B0C5F">
        <w:rPr>
          <w:rFonts w:asciiTheme="majorHAnsi" w:hAnsiTheme="majorHAnsi" w:cstheme="majorHAnsi"/>
        </w:rPr>
        <w:t xml:space="preserve"> &amp; Smit, 2012; Hamlet of Tuktoyaktuk, 1984). </w:t>
      </w:r>
      <w:r w:rsidR="000F2A57">
        <w:rPr>
          <w:rFonts w:asciiTheme="majorHAnsi" w:hAnsiTheme="majorHAnsi" w:cstheme="majorHAnsi"/>
        </w:rPr>
        <w:t xml:space="preserve">Prior to the initiation of shoreline protection efforts in the 1970s, shorelines were eroding at a rate of one to two meters per year (Hamlet of Tuktoyaktuk, 1984). Protection efforts prior to the 1990s were </w:t>
      </w:r>
      <w:r w:rsidR="000F2A57">
        <w:rPr>
          <w:rFonts w:asciiTheme="majorHAnsi" w:hAnsiTheme="majorHAnsi" w:cstheme="majorHAnsi"/>
        </w:rPr>
        <w:lastRenderedPageBreak/>
        <w:t xml:space="preserve">financially unsustainable and mainly experimental. The </w:t>
      </w:r>
      <w:r w:rsidR="008718C4">
        <w:rPr>
          <w:rFonts w:asciiTheme="majorHAnsi" w:hAnsiTheme="majorHAnsi" w:cstheme="majorHAnsi"/>
        </w:rPr>
        <w:t>North</w:t>
      </w:r>
      <w:r w:rsidR="000F2A57">
        <w:rPr>
          <w:rFonts w:asciiTheme="majorHAnsi" w:hAnsiTheme="majorHAnsi" w:cstheme="majorHAnsi"/>
        </w:rPr>
        <w:t>west Territories government provided funding for boulder reinforcement along the community shorelines in the 1990s, this method was much more successful than previous tactics; additional boulder and concrete block deposits have been added over the years. However, the municipal government in Tuktoyaktuk acknowledges that the boulders are a short-term solution that is financially practical, the increasing impacts of climate change are forcing the community to consider long-term plans (</w:t>
      </w:r>
      <w:proofErr w:type="spellStart"/>
      <w:r w:rsidR="000F2A57">
        <w:rPr>
          <w:rFonts w:asciiTheme="majorHAnsi" w:hAnsiTheme="majorHAnsi" w:cstheme="majorHAnsi"/>
        </w:rPr>
        <w:t>Andrachuk</w:t>
      </w:r>
      <w:proofErr w:type="spellEnd"/>
      <w:r w:rsidR="000F2A57">
        <w:rPr>
          <w:rFonts w:asciiTheme="majorHAnsi" w:hAnsiTheme="majorHAnsi" w:cstheme="majorHAnsi"/>
        </w:rPr>
        <w:t xml:space="preserve"> &amp; Smit, 2012). </w:t>
      </w:r>
    </w:p>
    <w:p w14:paraId="3FF80119" w14:textId="0B6298E0" w:rsidR="008E6FB5" w:rsidRPr="00633991" w:rsidRDefault="008E6FB5" w:rsidP="00986AD3">
      <w:pPr>
        <w:adjustRightInd w:val="0"/>
        <w:snapToGrid w:val="0"/>
        <w:spacing w:before="120" w:after="120"/>
        <w:contextualSpacing/>
        <w:rPr>
          <w:rFonts w:asciiTheme="majorHAnsi" w:eastAsia="Calibri" w:hAnsiTheme="majorHAnsi" w:cstheme="majorHAnsi"/>
          <w:b/>
          <w:bCs/>
        </w:rPr>
      </w:pPr>
      <w:r w:rsidRPr="00633991">
        <w:rPr>
          <w:rFonts w:asciiTheme="majorHAnsi" w:eastAsia="Calibri" w:hAnsiTheme="majorHAnsi" w:cstheme="majorHAnsi"/>
          <w:b/>
          <w:bCs/>
        </w:rPr>
        <w:t xml:space="preserve">Indigenous Food Sovereignty </w:t>
      </w:r>
    </w:p>
    <w:p w14:paraId="608F707C" w14:textId="79DB3E34" w:rsidR="008E6FB5" w:rsidRPr="00633991" w:rsidRDefault="008E6FB5" w:rsidP="00986AD3">
      <w:pPr>
        <w:adjustRightInd w:val="0"/>
        <w:snapToGrid w:val="0"/>
        <w:spacing w:before="120" w:after="120"/>
        <w:contextualSpacing/>
        <w:rPr>
          <w:rFonts w:asciiTheme="majorHAnsi" w:eastAsia="Calibri" w:hAnsiTheme="majorHAnsi" w:cstheme="majorHAnsi"/>
          <w:b/>
          <w:bCs/>
        </w:rPr>
      </w:pPr>
    </w:p>
    <w:p w14:paraId="6AEE4614" w14:textId="1266D3D5" w:rsidR="008E6FB5" w:rsidRDefault="008E6FB5" w:rsidP="00986AD3">
      <w:pPr>
        <w:adjustRightInd w:val="0"/>
        <w:snapToGrid w:val="0"/>
        <w:spacing w:before="120" w:after="120"/>
        <w:contextualSpacing/>
        <w:rPr>
          <w:rFonts w:asciiTheme="majorHAnsi" w:eastAsia="Calibri" w:hAnsiTheme="majorHAnsi" w:cstheme="majorHAnsi"/>
          <w:bCs/>
          <w:i/>
        </w:rPr>
      </w:pPr>
      <w:r w:rsidRPr="00633991">
        <w:rPr>
          <w:rFonts w:asciiTheme="majorHAnsi" w:eastAsia="Calibri" w:hAnsiTheme="majorHAnsi" w:cstheme="majorHAnsi"/>
          <w:bCs/>
          <w:i/>
        </w:rPr>
        <w:t xml:space="preserve">Indigenous Food Sovereignty in </w:t>
      </w:r>
      <w:r w:rsidR="008718C4">
        <w:rPr>
          <w:rFonts w:asciiTheme="majorHAnsi" w:eastAsia="Calibri" w:hAnsiTheme="majorHAnsi" w:cstheme="majorHAnsi"/>
          <w:bCs/>
          <w:i/>
        </w:rPr>
        <w:t>North</w:t>
      </w:r>
      <w:r w:rsidR="002B0447">
        <w:rPr>
          <w:rFonts w:asciiTheme="majorHAnsi" w:eastAsia="Calibri" w:hAnsiTheme="majorHAnsi" w:cstheme="majorHAnsi"/>
          <w:bCs/>
          <w:i/>
        </w:rPr>
        <w:t>ern</w:t>
      </w:r>
      <w:r w:rsidRPr="00633991">
        <w:rPr>
          <w:rFonts w:asciiTheme="majorHAnsi" w:eastAsia="Calibri" w:hAnsiTheme="majorHAnsi" w:cstheme="majorHAnsi"/>
          <w:bCs/>
          <w:i/>
        </w:rPr>
        <w:t xml:space="preserve"> Canad</w:t>
      </w:r>
      <w:r w:rsidR="00223C75">
        <w:rPr>
          <w:rFonts w:asciiTheme="majorHAnsi" w:eastAsia="Calibri" w:hAnsiTheme="majorHAnsi" w:cstheme="majorHAnsi"/>
          <w:bCs/>
          <w:i/>
        </w:rPr>
        <w:t>a</w:t>
      </w:r>
      <w:r w:rsidRPr="00633991">
        <w:rPr>
          <w:rFonts w:asciiTheme="majorHAnsi" w:eastAsia="Calibri" w:hAnsiTheme="majorHAnsi" w:cstheme="majorHAnsi"/>
          <w:bCs/>
          <w:i/>
        </w:rPr>
        <w:t xml:space="preserve"> </w:t>
      </w:r>
    </w:p>
    <w:p w14:paraId="6B820408" w14:textId="75E184A3" w:rsidR="00391365" w:rsidRDefault="00391365" w:rsidP="00986AD3">
      <w:pPr>
        <w:adjustRightInd w:val="0"/>
        <w:snapToGrid w:val="0"/>
        <w:spacing w:before="120" w:after="120"/>
        <w:contextualSpacing/>
        <w:rPr>
          <w:rFonts w:asciiTheme="majorHAnsi" w:eastAsia="Calibri" w:hAnsiTheme="majorHAnsi" w:cstheme="majorHAnsi"/>
          <w:bCs/>
          <w:i/>
        </w:rPr>
      </w:pPr>
    </w:p>
    <w:p w14:paraId="5BBAAE46" w14:textId="52FEA4C4" w:rsidR="00CA6DF5" w:rsidRPr="0085226C" w:rsidRDefault="00CA6DF5" w:rsidP="00986AD3">
      <w:pPr>
        <w:adjustRightInd w:val="0"/>
        <w:snapToGrid w:val="0"/>
        <w:spacing w:before="120" w:after="120"/>
        <w:contextualSpacing/>
        <w:rPr>
          <w:rFonts w:asciiTheme="majorHAnsi" w:eastAsia="Calibri" w:hAnsiTheme="majorHAnsi" w:cstheme="majorHAnsi"/>
          <w:bCs/>
        </w:rPr>
      </w:pPr>
      <w:r w:rsidRPr="0085226C">
        <w:rPr>
          <w:rFonts w:asciiTheme="majorHAnsi" w:eastAsia="Calibri" w:hAnsiTheme="majorHAnsi" w:cstheme="majorHAnsi"/>
          <w:bCs/>
        </w:rPr>
        <w:t xml:space="preserve">The history of food security and sovereignty in </w:t>
      </w:r>
      <w:r w:rsidR="008718C4">
        <w:rPr>
          <w:rFonts w:asciiTheme="majorHAnsi" w:eastAsia="Calibri" w:hAnsiTheme="majorHAnsi" w:cstheme="majorHAnsi"/>
          <w:bCs/>
        </w:rPr>
        <w:t>North</w:t>
      </w:r>
      <w:r w:rsidRPr="0085226C">
        <w:rPr>
          <w:rFonts w:asciiTheme="majorHAnsi" w:eastAsia="Calibri" w:hAnsiTheme="majorHAnsi" w:cstheme="majorHAnsi"/>
          <w:bCs/>
        </w:rPr>
        <w:t xml:space="preserve">ern Canada is complex </w:t>
      </w:r>
      <w:r w:rsidR="0085226C" w:rsidRPr="0085226C">
        <w:rPr>
          <w:rFonts w:asciiTheme="majorHAnsi" w:eastAsia="Calibri" w:hAnsiTheme="majorHAnsi" w:cstheme="majorHAnsi"/>
          <w:bCs/>
        </w:rPr>
        <w:t xml:space="preserve">and unique in comparison to the rest of the country, </w:t>
      </w:r>
      <w:r w:rsidRPr="0085226C">
        <w:rPr>
          <w:rFonts w:asciiTheme="majorHAnsi" w:eastAsia="Calibri" w:hAnsiTheme="majorHAnsi" w:cstheme="majorHAnsi"/>
          <w:bCs/>
        </w:rPr>
        <w:t xml:space="preserve">due to </w:t>
      </w:r>
      <w:r w:rsidR="00A74D7F">
        <w:rPr>
          <w:rFonts w:asciiTheme="majorHAnsi" w:eastAsia="Calibri" w:hAnsiTheme="majorHAnsi" w:cstheme="majorHAnsi"/>
          <w:bCs/>
        </w:rPr>
        <w:t xml:space="preserve">a continued reliance on </w:t>
      </w:r>
      <w:r w:rsidR="0085226C" w:rsidRPr="0085226C">
        <w:rPr>
          <w:rFonts w:asciiTheme="majorHAnsi" w:eastAsia="Calibri" w:hAnsiTheme="majorHAnsi" w:cstheme="majorHAnsi"/>
          <w:bCs/>
        </w:rPr>
        <w:t>subsistence practices among Inuit as well as distinct</w:t>
      </w:r>
      <w:r w:rsidRPr="0085226C">
        <w:rPr>
          <w:rFonts w:asciiTheme="majorHAnsi" w:eastAsia="Calibri" w:hAnsiTheme="majorHAnsi" w:cstheme="majorHAnsi"/>
          <w:bCs/>
        </w:rPr>
        <w:t xml:space="preserve"> environmental conditions. </w:t>
      </w:r>
      <w:r w:rsidR="008718C4">
        <w:rPr>
          <w:rFonts w:asciiTheme="majorHAnsi" w:eastAsia="Calibri" w:hAnsiTheme="majorHAnsi" w:cstheme="majorHAnsi"/>
          <w:bCs/>
        </w:rPr>
        <w:t>North</w:t>
      </w:r>
      <w:r w:rsidR="007941B5">
        <w:rPr>
          <w:rFonts w:asciiTheme="majorHAnsi" w:eastAsia="Calibri" w:hAnsiTheme="majorHAnsi" w:cstheme="majorHAnsi"/>
          <w:bCs/>
        </w:rPr>
        <w:t xml:space="preserve">ern food insecurity is rooted in the impacts of colonization and a diverse history of economic hardship and consequential starvation. </w:t>
      </w:r>
      <w:r w:rsidR="00A74D7F">
        <w:rPr>
          <w:rFonts w:asciiTheme="majorHAnsi" w:eastAsia="Calibri" w:hAnsiTheme="majorHAnsi" w:cstheme="majorHAnsi"/>
          <w:bCs/>
        </w:rPr>
        <w:t>Initial</w:t>
      </w:r>
      <w:r w:rsidR="009217FE">
        <w:rPr>
          <w:rFonts w:asciiTheme="majorHAnsi" w:eastAsia="Calibri" w:hAnsiTheme="majorHAnsi" w:cstheme="majorHAnsi"/>
          <w:bCs/>
        </w:rPr>
        <w:t xml:space="preserve"> colonial contact in </w:t>
      </w:r>
      <w:r w:rsidR="008718C4">
        <w:rPr>
          <w:rFonts w:asciiTheme="majorHAnsi" w:eastAsia="Calibri" w:hAnsiTheme="majorHAnsi" w:cstheme="majorHAnsi"/>
          <w:bCs/>
        </w:rPr>
        <w:t>North</w:t>
      </w:r>
      <w:r w:rsidR="009217FE">
        <w:rPr>
          <w:rFonts w:asciiTheme="majorHAnsi" w:eastAsia="Calibri" w:hAnsiTheme="majorHAnsi" w:cstheme="majorHAnsi"/>
          <w:bCs/>
        </w:rPr>
        <w:t>ern Canada</w:t>
      </w:r>
      <w:r w:rsidR="007941B5">
        <w:rPr>
          <w:rFonts w:asciiTheme="majorHAnsi" w:eastAsia="Calibri" w:hAnsiTheme="majorHAnsi" w:cstheme="majorHAnsi"/>
          <w:bCs/>
        </w:rPr>
        <w:t xml:space="preserve"> occurred</w:t>
      </w:r>
      <w:r w:rsidR="009217FE">
        <w:rPr>
          <w:rFonts w:asciiTheme="majorHAnsi" w:eastAsia="Calibri" w:hAnsiTheme="majorHAnsi" w:cstheme="majorHAnsi"/>
          <w:bCs/>
        </w:rPr>
        <w:t xml:space="preserve"> in the nineteenth and early twentieth century, first with whalers and Hudson’s Bay Company (HBC) fur traders, followed by missionaries and the </w:t>
      </w:r>
      <w:r w:rsidR="008718C4">
        <w:rPr>
          <w:rFonts w:asciiTheme="majorHAnsi" w:eastAsia="Calibri" w:hAnsiTheme="majorHAnsi" w:cstheme="majorHAnsi"/>
          <w:bCs/>
        </w:rPr>
        <w:t>North</w:t>
      </w:r>
      <w:r w:rsidR="009217FE">
        <w:rPr>
          <w:rFonts w:asciiTheme="majorHAnsi" w:eastAsia="Calibri" w:hAnsiTheme="majorHAnsi" w:cstheme="majorHAnsi"/>
          <w:bCs/>
        </w:rPr>
        <w:t>west Mounted Police (NWMP)</w:t>
      </w:r>
      <w:r w:rsidR="007F5B59">
        <w:rPr>
          <w:rFonts w:asciiTheme="majorHAnsi" w:eastAsia="Calibri" w:hAnsiTheme="majorHAnsi" w:cstheme="majorHAnsi"/>
          <w:bCs/>
        </w:rPr>
        <w:t xml:space="preserve">. Due to extensive </w:t>
      </w:r>
      <w:r w:rsidR="0085226C">
        <w:rPr>
          <w:rFonts w:asciiTheme="majorHAnsi" w:eastAsia="Calibri" w:hAnsiTheme="majorHAnsi" w:cstheme="majorHAnsi"/>
          <w:bCs/>
        </w:rPr>
        <w:t>involvement in European commercial trapping</w:t>
      </w:r>
      <w:r w:rsidR="007F5B59">
        <w:rPr>
          <w:rFonts w:asciiTheme="majorHAnsi" w:eastAsia="Calibri" w:hAnsiTheme="majorHAnsi" w:cstheme="majorHAnsi"/>
          <w:bCs/>
        </w:rPr>
        <w:t>, Inuit livelihood became progressively reliant on European economic forces and imported goods; this dependence contributed to mass starvation after the 1930s fur price collapse</w:t>
      </w:r>
      <w:r w:rsidR="00FE6E9A">
        <w:rPr>
          <w:rFonts w:asciiTheme="majorHAnsi" w:eastAsia="Calibri" w:hAnsiTheme="majorHAnsi" w:cstheme="majorHAnsi"/>
          <w:bCs/>
        </w:rPr>
        <w:t xml:space="preserve"> </w:t>
      </w:r>
      <w:r w:rsidR="0085226C">
        <w:rPr>
          <w:rFonts w:asciiTheme="majorHAnsi" w:eastAsia="Calibri" w:hAnsiTheme="majorHAnsi" w:cstheme="majorHAnsi"/>
          <w:bCs/>
        </w:rPr>
        <w:t>and</w:t>
      </w:r>
      <w:r w:rsidR="00FE6E9A">
        <w:rPr>
          <w:rFonts w:asciiTheme="majorHAnsi" w:eastAsia="Calibri" w:hAnsiTheme="majorHAnsi" w:cstheme="majorHAnsi"/>
          <w:bCs/>
        </w:rPr>
        <w:t xml:space="preserve"> a shortage of caribou resources</w:t>
      </w:r>
      <w:r w:rsidR="005B5558">
        <w:rPr>
          <w:rFonts w:asciiTheme="majorHAnsi" w:eastAsia="Calibri" w:hAnsiTheme="majorHAnsi" w:cstheme="majorHAnsi"/>
          <w:bCs/>
        </w:rPr>
        <w:t xml:space="preserve"> due to overhunting</w:t>
      </w:r>
      <w:r w:rsidR="00FE6E9A">
        <w:rPr>
          <w:rFonts w:asciiTheme="majorHAnsi" w:eastAsia="Calibri" w:hAnsiTheme="majorHAnsi" w:cstheme="majorHAnsi"/>
          <w:bCs/>
        </w:rPr>
        <w:t xml:space="preserve">. </w:t>
      </w:r>
      <w:r w:rsidR="0085226C">
        <w:rPr>
          <w:rFonts w:asciiTheme="majorHAnsi" w:eastAsia="Calibri" w:hAnsiTheme="majorHAnsi" w:cstheme="majorHAnsi"/>
          <w:bCs/>
        </w:rPr>
        <w:t xml:space="preserve">Many Inuit shifted their way of life from self-sufficient nomadic living to stationary living in close proximity to HBC trading posts prior to 1930. </w:t>
      </w:r>
      <w:r w:rsidR="007941B5">
        <w:rPr>
          <w:rFonts w:asciiTheme="majorHAnsi" w:eastAsia="Calibri" w:hAnsiTheme="majorHAnsi" w:cstheme="majorHAnsi"/>
          <w:bCs/>
        </w:rPr>
        <w:t>Later d</w:t>
      </w:r>
      <w:r w:rsidR="0085226C">
        <w:rPr>
          <w:rFonts w:asciiTheme="majorHAnsi" w:eastAsia="Calibri" w:hAnsiTheme="majorHAnsi" w:cstheme="majorHAnsi"/>
          <w:bCs/>
        </w:rPr>
        <w:t xml:space="preserve">evelopment of defence infrastructure in the </w:t>
      </w:r>
      <w:r w:rsidR="008718C4">
        <w:rPr>
          <w:rFonts w:asciiTheme="majorHAnsi" w:eastAsia="Calibri" w:hAnsiTheme="majorHAnsi" w:cstheme="majorHAnsi"/>
          <w:bCs/>
        </w:rPr>
        <w:t>North</w:t>
      </w:r>
      <w:r w:rsidR="0085226C">
        <w:rPr>
          <w:rFonts w:asciiTheme="majorHAnsi" w:eastAsia="Calibri" w:hAnsiTheme="majorHAnsi" w:cstheme="majorHAnsi"/>
          <w:bCs/>
        </w:rPr>
        <w:t xml:space="preserve"> provided employment, medical services</w:t>
      </w:r>
      <w:r w:rsidR="00A20460">
        <w:rPr>
          <w:rFonts w:asciiTheme="majorHAnsi" w:eastAsia="Calibri" w:hAnsiTheme="majorHAnsi" w:cstheme="majorHAnsi"/>
          <w:bCs/>
        </w:rPr>
        <w:t xml:space="preserve">, </w:t>
      </w:r>
      <w:r w:rsidR="0085226C">
        <w:rPr>
          <w:rFonts w:asciiTheme="majorHAnsi" w:eastAsia="Calibri" w:hAnsiTheme="majorHAnsi" w:cstheme="majorHAnsi"/>
          <w:bCs/>
        </w:rPr>
        <w:t>and goods,</w:t>
      </w:r>
      <w:r w:rsidR="00A20460">
        <w:rPr>
          <w:rFonts w:asciiTheme="majorHAnsi" w:eastAsia="Calibri" w:hAnsiTheme="majorHAnsi" w:cstheme="majorHAnsi"/>
          <w:bCs/>
        </w:rPr>
        <w:t xml:space="preserve"> which</w:t>
      </w:r>
      <w:r w:rsidR="0085226C">
        <w:rPr>
          <w:rFonts w:asciiTheme="majorHAnsi" w:eastAsia="Calibri" w:hAnsiTheme="majorHAnsi" w:cstheme="majorHAnsi"/>
          <w:bCs/>
        </w:rPr>
        <w:t xml:space="preserve"> further promot</w:t>
      </w:r>
      <w:r w:rsidR="00A20460">
        <w:rPr>
          <w:rFonts w:asciiTheme="majorHAnsi" w:eastAsia="Calibri" w:hAnsiTheme="majorHAnsi" w:cstheme="majorHAnsi"/>
          <w:bCs/>
        </w:rPr>
        <w:t>ed</w:t>
      </w:r>
      <w:r w:rsidR="0085226C">
        <w:rPr>
          <w:rFonts w:asciiTheme="majorHAnsi" w:eastAsia="Calibri" w:hAnsiTheme="majorHAnsi" w:cstheme="majorHAnsi"/>
          <w:bCs/>
        </w:rPr>
        <w:t xml:space="preserve"> the development of sedentary communities. </w:t>
      </w:r>
      <w:r w:rsidR="007F5B59">
        <w:rPr>
          <w:rFonts w:asciiTheme="majorHAnsi" w:eastAsia="Calibri" w:hAnsiTheme="majorHAnsi" w:cstheme="majorHAnsi"/>
          <w:bCs/>
        </w:rPr>
        <w:t>Despite rampant poverty and starvation across Arctic Canada, the government did not provide relief for communities</w:t>
      </w:r>
      <w:r w:rsidR="00A20460">
        <w:rPr>
          <w:rFonts w:asciiTheme="majorHAnsi" w:eastAsia="Calibri" w:hAnsiTheme="majorHAnsi" w:cstheme="majorHAnsi"/>
          <w:bCs/>
        </w:rPr>
        <w:t xml:space="preserve">, </w:t>
      </w:r>
      <w:r w:rsidR="007F5B59">
        <w:rPr>
          <w:rFonts w:asciiTheme="majorHAnsi" w:eastAsia="Calibri" w:hAnsiTheme="majorHAnsi" w:cstheme="majorHAnsi"/>
          <w:bCs/>
        </w:rPr>
        <w:t>maintain</w:t>
      </w:r>
      <w:r w:rsidR="00A20460">
        <w:rPr>
          <w:rFonts w:asciiTheme="majorHAnsi" w:eastAsia="Calibri" w:hAnsiTheme="majorHAnsi" w:cstheme="majorHAnsi"/>
          <w:bCs/>
        </w:rPr>
        <w:t>ing</w:t>
      </w:r>
      <w:r w:rsidR="007F5B59">
        <w:rPr>
          <w:rFonts w:asciiTheme="majorHAnsi" w:eastAsia="Calibri" w:hAnsiTheme="majorHAnsi" w:cstheme="majorHAnsi"/>
          <w:bCs/>
        </w:rPr>
        <w:t xml:space="preserve"> its advisory of a self-sufficient livelihood for Inuit</w:t>
      </w:r>
      <w:r w:rsidR="0085226C">
        <w:rPr>
          <w:rFonts w:asciiTheme="majorHAnsi" w:eastAsia="Calibri" w:hAnsiTheme="majorHAnsi" w:cstheme="majorHAnsi"/>
          <w:bCs/>
        </w:rPr>
        <w:t xml:space="preserve"> until the 1950s</w:t>
      </w:r>
      <w:r w:rsidR="007F5B59">
        <w:rPr>
          <w:rFonts w:asciiTheme="majorHAnsi" w:eastAsia="Calibri" w:hAnsiTheme="majorHAnsi" w:cstheme="majorHAnsi"/>
          <w:bCs/>
        </w:rPr>
        <w:t xml:space="preserve"> (</w:t>
      </w:r>
      <w:proofErr w:type="spellStart"/>
      <w:r w:rsidR="007833E8" w:rsidRPr="007833E8">
        <w:rPr>
          <w:rFonts w:asciiTheme="majorHAnsi" w:eastAsia="Times New Roman" w:hAnsiTheme="majorHAnsi" w:cstheme="majorHAnsi"/>
          <w:color w:val="000000"/>
        </w:rPr>
        <w:t>Bonesteel</w:t>
      </w:r>
      <w:proofErr w:type="spellEnd"/>
      <w:r w:rsidR="007833E8" w:rsidRPr="007833E8">
        <w:rPr>
          <w:rFonts w:asciiTheme="majorHAnsi" w:eastAsia="Times New Roman" w:hAnsiTheme="majorHAnsi" w:cstheme="majorHAnsi"/>
          <w:color w:val="000000"/>
        </w:rPr>
        <w:t>, 2006</w:t>
      </w:r>
      <w:r w:rsidR="007F5B59">
        <w:rPr>
          <w:rFonts w:asciiTheme="majorHAnsi" w:eastAsia="Calibri" w:hAnsiTheme="majorHAnsi" w:cstheme="majorHAnsi"/>
          <w:bCs/>
        </w:rPr>
        <w:t xml:space="preserve">). </w:t>
      </w:r>
    </w:p>
    <w:p w14:paraId="62D9CFDB" w14:textId="297B0841" w:rsidR="009217FE" w:rsidRDefault="009217FE" w:rsidP="00986AD3">
      <w:pPr>
        <w:adjustRightInd w:val="0"/>
        <w:snapToGrid w:val="0"/>
        <w:spacing w:before="120" w:after="120"/>
        <w:contextualSpacing/>
        <w:rPr>
          <w:rFonts w:asciiTheme="majorHAnsi" w:eastAsia="Calibri" w:hAnsiTheme="majorHAnsi" w:cstheme="majorHAnsi"/>
          <w:bCs/>
        </w:rPr>
      </w:pPr>
    </w:p>
    <w:p w14:paraId="06D53546" w14:textId="7725D0C2" w:rsidR="007941B5" w:rsidRPr="000A1CD9" w:rsidRDefault="007941B5" w:rsidP="00B9580D">
      <w:pPr>
        <w:autoSpaceDE w:val="0"/>
        <w:autoSpaceDN w:val="0"/>
        <w:adjustRightInd w:val="0"/>
        <w:contextualSpacing/>
        <w:rPr>
          <w:rFonts w:asciiTheme="majorHAnsi" w:hAnsiTheme="majorHAnsi" w:cstheme="majorHAnsi"/>
          <w:lang w:val="en-US"/>
        </w:rPr>
      </w:pPr>
      <w:r>
        <w:rPr>
          <w:rFonts w:asciiTheme="majorHAnsi" w:eastAsia="Calibri" w:hAnsiTheme="majorHAnsi" w:cstheme="majorHAnsi"/>
          <w:bCs/>
        </w:rPr>
        <w:t xml:space="preserve">The historic legacy of starvation and economic instability has resulted in mass food insecurity among Inuit households </w:t>
      </w:r>
      <w:r w:rsidR="007F6528">
        <w:rPr>
          <w:rFonts w:asciiTheme="majorHAnsi" w:eastAsia="Calibri" w:hAnsiTheme="majorHAnsi" w:cstheme="majorHAnsi"/>
          <w:bCs/>
        </w:rPr>
        <w:t>in the present today</w:t>
      </w:r>
      <w:r>
        <w:rPr>
          <w:rFonts w:asciiTheme="majorHAnsi" w:eastAsia="Calibri" w:hAnsiTheme="majorHAnsi" w:cstheme="majorHAnsi"/>
          <w:bCs/>
        </w:rPr>
        <w:t xml:space="preserve">. </w:t>
      </w:r>
      <w:r w:rsidR="008718C4">
        <w:rPr>
          <w:rFonts w:asciiTheme="majorHAnsi" w:hAnsiTheme="majorHAnsi" w:cstheme="majorHAnsi"/>
          <w:lang w:val="en-US"/>
        </w:rPr>
        <w:t>North</w:t>
      </w:r>
      <w:r w:rsidR="000A1CD9">
        <w:rPr>
          <w:rFonts w:asciiTheme="majorHAnsi" w:hAnsiTheme="majorHAnsi" w:cstheme="majorHAnsi"/>
          <w:lang w:val="en-US"/>
        </w:rPr>
        <w:t xml:space="preserve">ern food security is complex due to changing Inuit livelihoods and </w:t>
      </w:r>
      <w:r w:rsidR="00A20460">
        <w:rPr>
          <w:rFonts w:asciiTheme="majorHAnsi" w:hAnsiTheme="majorHAnsi" w:cstheme="majorHAnsi"/>
          <w:lang w:val="en-US"/>
        </w:rPr>
        <w:t xml:space="preserve">distinctive characteristics of the </w:t>
      </w:r>
      <w:r w:rsidR="000A1CD9">
        <w:rPr>
          <w:rFonts w:asciiTheme="majorHAnsi" w:hAnsiTheme="majorHAnsi" w:cstheme="majorHAnsi"/>
          <w:lang w:val="en-US"/>
        </w:rPr>
        <w:t xml:space="preserve">Arctic environment; the climate crisis and a population surge place further stress on food systems (Ford, </w:t>
      </w:r>
      <w:r w:rsidR="00BD3B56">
        <w:rPr>
          <w:rFonts w:asciiTheme="majorHAnsi" w:hAnsiTheme="majorHAnsi" w:cstheme="majorHAnsi"/>
          <w:lang w:val="en-US"/>
        </w:rPr>
        <w:t xml:space="preserve">&amp; </w:t>
      </w:r>
      <w:proofErr w:type="spellStart"/>
      <w:r w:rsidR="000A1CD9">
        <w:rPr>
          <w:rFonts w:asciiTheme="majorHAnsi" w:hAnsiTheme="majorHAnsi" w:cstheme="majorHAnsi"/>
          <w:lang w:val="en-US"/>
        </w:rPr>
        <w:t>Beaumie</w:t>
      </w:r>
      <w:r w:rsidR="00BD3B56">
        <w:rPr>
          <w:rFonts w:asciiTheme="majorHAnsi" w:hAnsiTheme="majorHAnsi" w:cstheme="majorHAnsi"/>
          <w:lang w:val="en-US"/>
        </w:rPr>
        <w:t>r</w:t>
      </w:r>
      <w:proofErr w:type="spellEnd"/>
      <w:r w:rsidR="00BD3B56">
        <w:rPr>
          <w:rFonts w:asciiTheme="majorHAnsi" w:hAnsiTheme="majorHAnsi" w:cstheme="majorHAnsi"/>
          <w:lang w:val="en-US"/>
        </w:rPr>
        <w:t xml:space="preserve">, </w:t>
      </w:r>
      <w:r w:rsidR="000A1CD9">
        <w:rPr>
          <w:rFonts w:asciiTheme="majorHAnsi" w:hAnsiTheme="majorHAnsi" w:cstheme="majorHAnsi"/>
          <w:lang w:val="en-US"/>
        </w:rPr>
        <w:t xml:space="preserve">2011). </w:t>
      </w:r>
      <w:r>
        <w:rPr>
          <w:rFonts w:asciiTheme="majorHAnsi" w:hAnsiTheme="majorHAnsi" w:cstheme="majorHAnsi"/>
          <w:lang w:val="en-US"/>
        </w:rPr>
        <w:t xml:space="preserve">Unfortunately, many families in </w:t>
      </w:r>
      <w:r w:rsidR="008718C4">
        <w:rPr>
          <w:rFonts w:asciiTheme="majorHAnsi" w:hAnsiTheme="majorHAnsi" w:cstheme="majorHAnsi"/>
          <w:lang w:val="en-US"/>
        </w:rPr>
        <w:t>North</w:t>
      </w:r>
      <w:r>
        <w:rPr>
          <w:rFonts w:asciiTheme="majorHAnsi" w:hAnsiTheme="majorHAnsi" w:cstheme="majorHAnsi"/>
          <w:lang w:val="en-US"/>
        </w:rPr>
        <w:t xml:space="preserve">ern </w:t>
      </w:r>
      <w:proofErr w:type="gramStart"/>
      <w:r>
        <w:rPr>
          <w:rFonts w:asciiTheme="majorHAnsi" w:hAnsiTheme="majorHAnsi" w:cstheme="majorHAnsi"/>
          <w:lang w:val="en-US"/>
        </w:rPr>
        <w:t>communities</w:t>
      </w:r>
      <w:proofErr w:type="gramEnd"/>
      <w:r>
        <w:rPr>
          <w:rFonts w:asciiTheme="majorHAnsi" w:hAnsiTheme="majorHAnsi" w:cstheme="majorHAnsi"/>
          <w:lang w:val="en-US"/>
        </w:rPr>
        <w:t xml:space="preserve"> experience undernourishment due to irregular economic income; a 2002 study in Nunavik identified that 55% of households live below the poverty line. Further complications of low-income includes high Inuit birth rates when compared to the rest of the country (</w:t>
      </w:r>
      <w:proofErr w:type="spellStart"/>
      <w:r w:rsidR="007833E8" w:rsidRPr="007833E8">
        <w:rPr>
          <w:rFonts w:asciiTheme="majorHAnsi" w:eastAsia="Times New Roman" w:hAnsiTheme="majorHAnsi" w:cstheme="majorHAnsi"/>
          <w:color w:val="000000"/>
        </w:rPr>
        <w:t>Bonesteel</w:t>
      </w:r>
      <w:proofErr w:type="spellEnd"/>
      <w:r w:rsidR="007833E8" w:rsidRPr="007833E8">
        <w:rPr>
          <w:rFonts w:asciiTheme="majorHAnsi" w:eastAsia="Times New Roman" w:hAnsiTheme="majorHAnsi" w:cstheme="majorHAnsi"/>
          <w:color w:val="000000"/>
        </w:rPr>
        <w:t>, 2006</w:t>
      </w:r>
      <w:r>
        <w:rPr>
          <w:rFonts w:asciiTheme="majorHAnsi" w:hAnsiTheme="majorHAnsi" w:cstheme="majorHAnsi"/>
          <w:lang w:val="en-US"/>
        </w:rPr>
        <w:t xml:space="preserve">). </w:t>
      </w:r>
      <w:r w:rsidRPr="005D19EB">
        <w:rPr>
          <w:rFonts w:asciiTheme="majorHAnsi" w:eastAsia="Calibri" w:hAnsiTheme="majorHAnsi" w:cstheme="majorHAnsi"/>
          <w:bCs/>
        </w:rPr>
        <w:t>Food insecurity coping strategies in the</w:t>
      </w:r>
      <w:r w:rsidR="008718C4">
        <w:rPr>
          <w:rFonts w:asciiTheme="majorHAnsi" w:eastAsia="Calibri" w:hAnsiTheme="majorHAnsi" w:cstheme="majorHAnsi"/>
          <w:bCs/>
        </w:rPr>
        <w:t xml:space="preserve"> North</w:t>
      </w:r>
      <w:r w:rsidRPr="005D19EB">
        <w:rPr>
          <w:rFonts w:asciiTheme="majorHAnsi" w:eastAsia="Calibri" w:hAnsiTheme="majorHAnsi" w:cstheme="majorHAnsi"/>
          <w:bCs/>
        </w:rPr>
        <w:t xml:space="preserve"> are predominantly reactive and provide immediate solutions that could increase long-term vulnerability of communities (</w:t>
      </w:r>
      <w:proofErr w:type="spellStart"/>
      <w:r w:rsidRPr="005D19EB">
        <w:rPr>
          <w:rFonts w:asciiTheme="majorHAnsi" w:eastAsia="Calibri" w:hAnsiTheme="majorHAnsi" w:cstheme="majorHAnsi"/>
          <w:bCs/>
        </w:rPr>
        <w:t>Beaumier</w:t>
      </w:r>
      <w:proofErr w:type="spellEnd"/>
      <w:r w:rsidRPr="005D19EB">
        <w:rPr>
          <w:rFonts w:asciiTheme="majorHAnsi" w:eastAsia="Calibri" w:hAnsiTheme="majorHAnsi" w:cstheme="majorHAnsi"/>
          <w:bCs/>
        </w:rPr>
        <w:t xml:space="preserve"> &amp; Ford, 2010)</w:t>
      </w:r>
      <w:r>
        <w:rPr>
          <w:rFonts w:asciiTheme="majorHAnsi" w:eastAsia="Calibri" w:hAnsiTheme="majorHAnsi" w:cstheme="majorHAnsi"/>
          <w:bCs/>
        </w:rPr>
        <w:t xml:space="preserve">. Low income levels make it impossible for Inuit families to rely solely on market foods due to extremely high preservation and transportation costs of fresh, nutrient-dense produce in </w:t>
      </w:r>
      <w:r w:rsidR="008718C4">
        <w:rPr>
          <w:rFonts w:asciiTheme="majorHAnsi" w:eastAsia="Calibri" w:hAnsiTheme="majorHAnsi" w:cstheme="majorHAnsi"/>
          <w:bCs/>
        </w:rPr>
        <w:t>North</w:t>
      </w:r>
      <w:r>
        <w:rPr>
          <w:rFonts w:asciiTheme="majorHAnsi" w:eastAsia="Calibri" w:hAnsiTheme="majorHAnsi" w:cstheme="majorHAnsi"/>
          <w:bCs/>
        </w:rPr>
        <w:t xml:space="preserve">ern communities. Consumption of processed, nutrient-poor and energy dense foods and beverages is widespread amongst Inuit communities, while fruit and vegetable intake are severely below national recommendations (Sheehy, Roache, &amp; Sharma, 2013). </w:t>
      </w:r>
      <w:r w:rsidRPr="00B5626F">
        <w:rPr>
          <w:rFonts w:asciiTheme="majorHAnsi" w:eastAsia="Calibri" w:hAnsiTheme="majorHAnsi" w:cstheme="majorHAnsi"/>
          <w:bCs/>
        </w:rPr>
        <w:t xml:space="preserve">A lack of nutrition education and food skills confounded with high food prices and varying </w:t>
      </w:r>
      <w:r w:rsidRPr="00B5626F">
        <w:rPr>
          <w:rFonts w:asciiTheme="majorHAnsi" w:eastAsia="Calibri" w:hAnsiTheme="majorHAnsi" w:cstheme="majorHAnsi"/>
          <w:bCs/>
        </w:rPr>
        <w:lastRenderedPageBreak/>
        <w:t xml:space="preserve">availability may further contribute to low produce consumption in these communities (Sheehy, Roache, &amp; Sharma, 2013; </w:t>
      </w:r>
      <w:proofErr w:type="spellStart"/>
      <w:r w:rsidRPr="00B5626F">
        <w:rPr>
          <w:rFonts w:asciiTheme="majorHAnsi" w:eastAsia="Calibri" w:hAnsiTheme="majorHAnsi" w:cstheme="majorHAnsi"/>
          <w:bCs/>
        </w:rPr>
        <w:t>Wesche</w:t>
      </w:r>
      <w:proofErr w:type="spellEnd"/>
      <w:r w:rsidRPr="00B5626F">
        <w:rPr>
          <w:rFonts w:asciiTheme="majorHAnsi" w:eastAsia="Calibri" w:hAnsiTheme="majorHAnsi" w:cstheme="majorHAnsi"/>
          <w:bCs/>
        </w:rPr>
        <w:t xml:space="preserve"> &amp; Chan, 2010)</w:t>
      </w:r>
      <w:r>
        <w:rPr>
          <w:rFonts w:asciiTheme="majorHAnsi" w:eastAsia="Calibri" w:hAnsiTheme="majorHAnsi" w:cstheme="majorHAnsi"/>
          <w:bCs/>
        </w:rPr>
        <w:t xml:space="preserve">. </w:t>
      </w:r>
      <w:r w:rsidRPr="005D19EB">
        <w:rPr>
          <w:rFonts w:asciiTheme="majorHAnsi" w:eastAsia="Calibri" w:hAnsiTheme="majorHAnsi" w:cstheme="majorHAnsi"/>
          <w:bCs/>
        </w:rPr>
        <w:t>Economic development at the community-level that supports local and sustainable food production will help increase food security and strengthen IFS</w:t>
      </w:r>
      <w:r w:rsidR="00A73DB8">
        <w:rPr>
          <w:rFonts w:asciiTheme="majorHAnsi" w:eastAsia="Calibri" w:hAnsiTheme="majorHAnsi" w:cstheme="majorHAnsi"/>
          <w:bCs/>
        </w:rPr>
        <w:t xml:space="preserve">. </w:t>
      </w:r>
      <w:r>
        <w:rPr>
          <w:rFonts w:asciiTheme="majorHAnsi" w:eastAsia="Calibri" w:hAnsiTheme="majorHAnsi" w:cstheme="majorHAnsi"/>
          <w:bCs/>
        </w:rPr>
        <w:t xml:space="preserve">When discussing food sovereignty, communities have identified that both country foods and market foods are key elements to ensuring nutritious diets amongst Inuit. (Skinner, </w:t>
      </w:r>
      <w:proofErr w:type="spellStart"/>
      <w:r>
        <w:rPr>
          <w:rFonts w:asciiTheme="majorHAnsi" w:eastAsia="Calibri" w:hAnsiTheme="majorHAnsi" w:cstheme="majorHAnsi"/>
          <w:bCs/>
        </w:rPr>
        <w:t>Hanning</w:t>
      </w:r>
      <w:proofErr w:type="spellEnd"/>
      <w:r>
        <w:rPr>
          <w:rFonts w:asciiTheme="majorHAnsi" w:eastAsia="Calibri" w:hAnsiTheme="majorHAnsi" w:cstheme="majorHAnsi"/>
          <w:bCs/>
        </w:rPr>
        <w:t>, Des</w:t>
      </w:r>
      <w:r w:rsidR="00A73DB8">
        <w:rPr>
          <w:rFonts w:asciiTheme="majorHAnsi" w:eastAsia="Calibri" w:hAnsiTheme="majorHAnsi" w:cstheme="majorHAnsi"/>
          <w:bCs/>
        </w:rPr>
        <w:t>j</w:t>
      </w:r>
      <w:r>
        <w:rPr>
          <w:rFonts w:asciiTheme="majorHAnsi" w:eastAsia="Calibri" w:hAnsiTheme="majorHAnsi" w:cstheme="majorHAnsi"/>
          <w:bCs/>
        </w:rPr>
        <w:t xml:space="preserve">ardins, &amp; </w:t>
      </w:r>
      <w:proofErr w:type="spellStart"/>
      <w:r>
        <w:rPr>
          <w:rFonts w:asciiTheme="majorHAnsi" w:eastAsia="Calibri" w:hAnsiTheme="majorHAnsi" w:cstheme="majorHAnsi"/>
          <w:bCs/>
        </w:rPr>
        <w:t>Tsuki</w:t>
      </w:r>
      <w:proofErr w:type="spellEnd"/>
      <w:r>
        <w:rPr>
          <w:rFonts w:asciiTheme="majorHAnsi" w:eastAsia="Calibri" w:hAnsiTheme="majorHAnsi" w:cstheme="majorHAnsi"/>
          <w:bCs/>
        </w:rPr>
        <w:t>, 2013)</w:t>
      </w:r>
      <w:r w:rsidR="000A1CD9">
        <w:rPr>
          <w:rFonts w:asciiTheme="majorHAnsi" w:eastAsia="Calibri" w:hAnsiTheme="majorHAnsi" w:cstheme="majorHAnsi"/>
          <w:bCs/>
        </w:rPr>
        <w:t xml:space="preserve">. </w:t>
      </w:r>
      <w:r w:rsidR="00B9580D">
        <w:rPr>
          <w:rFonts w:asciiTheme="majorHAnsi" w:hAnsiTheme="majorHAnsi" w:cstheme="majorHAnsi"/>
          <w:lang w:val="en-US"/>
        </w:rPr>
        <w:t xml:space="preserve">Market foods play a role in ensuring food security due to changes in lifestyle and abilities to participate in traditional food systems but they cannot replace the superior nourishment country foods provide </w:t>
      </w:r>
      <w:r w:rsidR="00B9580D" w:rsidRPr="005A0CC5">
        <w:rPr>
          <w:rFonts w:asciiTheme="majorHAnsi" w:eastAsia="Calibri" w:hAnsiTheme="majorHAnsi" w:cstheme="majorHAnsi"/>
          <w:bCs/>
        </w:rPr>
        <w:t>(</w:t>
      </w:r>
      <w:proofErr w:type="spellStart"/>
      <w:r w:rsidR="00B9580D" w:rsidRPr="005A0CC5">
        <w:rPr>
          <w:rFonts w:asciiTheme="majorHAnsi" w:eastAsia="Calibri" w:hAnsiTheme="majorHAnsi" w:cstheme="majorHAnsi"/>
          <w:bCs/>
        </w:rPr>
        <w:t>Rosol</w:t>
      </w:r>
      <w:proofErr w:type="spellEnd"/>
      <w:r w:rsidR="00B9580D" w:rsidRPr="005A0CC5">
        <w:rPr>
          <w:rFonts w:asciiTheme="majorHAnsi" w:eastAsia="Calibri" w:hAnsiTheme="majorHAnsi" w:cstheme="majorHAnsi"/>
          <w:bCs/>
        </w:rPr>
        <w:t>, Powell-Hellyer, &amp; Chan, 2016</w:t>
      </w:r>
      <w:r w:rsidR="00B9580D">
        <w:rPr>
          <w:rFonts w:asciiTheme="majorHAnsi" w:eastAsia="Calibri" w:hAnsiTheme="majorHAnsi" w:cstheme="majorHAnsi"/>
          <w:bCs/>
        </w:rPr>
        <w:t xml:space="preserve">). </w:t>
      </w:r>
      <w:r w:rsidR="000A1CD9">
        <w:rPr>
          <w:rFonts w:asciiTheme="majorHAnsi" w:hAnsiTheme="majorHAnsi" w:cstheme="majorHAnsi"/>
          <w:lang w:val="en-US"/>
        </w:rPr>
        <w:t xml:space="preserve">The food security crisis in </w:t>
      </w:r>
      <w:r w:rsidR="008718C4">
        <w:rPr>
          <w:rFonts w:asciiTheme="majorHAnsi" w:hAnsiTheme="majorHAnsi" w:cstheme="majorHAnsi"/>
          <w:lang w:val="en-US"/>
        </w:rPr>
        <w:t>North</w:t>
      </w:r>
      <w:r w:rsidR="000A1CD9">
        <w:rPr>
          <w:rFonts w:asciiTheme="majorHAnsi" w:hAnsiTheme="majorHAnsi" w:cstheme="majorHAnsi"/>
          <w:lang w:val="en-US"/>
        </w:rPr>
        <w:t>ern Canada is of utmost importance due to the long-term ramification</w:t>
      </w:r>
      <w:r w:rsidR="00A20460">
        <w:rPr>
          <w:rFonts w:asciiTheme="majorHAnsi" w:hAnsiTheme="majorHAnsi" w:cstheme="majorHAnsi"/>
          <w:lang w:val="en-US"/>
        </w:rPr>
        <w:t>s</w:t>
      </w:r>
      <w:r w:rsidR="000A1CD9">
        <w:rPr>
          <w:rFonts w:asciiTheme="majorHAnsi" w:hAnsiTheme="majorHAnsi" w:cstheme="majorHAnsi"/>
          <w:lang w:val="en-US"/>
        </w:rPr>
        <w:t xml:space="preserve"> on Inuit health and well-being (</w:t>
      </w:r>
      <w:proofErr w:type="spellStart"/>
      <w:r w:rsidR="000A1CD9">
        <w:rPr>
          <w:rFonts w:asciiTheme="majorHAnsi" w:hAnsiTheme="majorHAnsi" w:cstheme="majorHAnsi"/>
          <w:lang w:val="en-US"/>
        </w:rPr>
        <w:t>Fillion</w:t>
      </w:r>
      <w:proofErr w:type="spellEnd"/>
      <w:r w:rsidR="000A1CD9">
        <w:rPr>
          <w:rFonts w:asciiTheme="majorHAnsi" w:hAnsiTheme="majorHAnsi" w:cstheme="majorHAnsi"/>
          <w:lang w:val="en-US"/>
        </w:rPr>
        <w:t xml:space="preserve"> et al., 2014).</w:t>
      </w:r>
    </w:p>
    <w:p w14:paraId="16744544" w14:textId="3E6CBE44" w:rsidR="00C4609D" w:rsidRDefault="00C4609D" w:rsidP="00E62FAA">
      <w:pPr>
        <w:adjustRightInd w:val="0"/>
        <w:snapToGrid w:val="0"/>
        <w:spacing w:before="120" w:after="120"/>
        <w:contextualSpacing/>
        <w:rPr>
          <w:rFonts w:asciiTheme="majorHAnsi" w:eastAsia="Calibri" w:hAnsiTheme="majorHAnsi" w:cstheme="majorHAnsi"/>
          <w:bCs/>
        </w:rPr>
      </w:pPr>
    </w:p>
    <w:p w14:paraId="0274D474" w14:textId="5D2F020C" w:rsidR="00B9580D" w:rsidRPr="00B9580D" w:rsidRDefault="00837B06" w:rsidP="00B9580D">
      <w:pPr>
        <w:adjustRightInd w:val="0"/>
        <w:snapToGrid w:val="0"/>
        <w:spacing w:before="120" w:after="120"/>
        <w:contextualSpacing/>
        <w:rPr>
          <w:rFonts w:asciiTheme="majorHAnsi" w:eastAsia="Calibri" w:hAnsiTheme="majorHAnsi" w:cstheme="majorHAnsi"/>
          <w:bCs/>
        </w:rPr>
      </w:pPr>
      <w:r>
        <w:rPr>
          <w:rFonts w:asciiTheme="majorHAnsi" w:eastAsia="Calibri" w:hAnsiTheme="majorHAnsi" w:cstheme="majorHAnsi"/>
          <w:bCs/>
        </w:rPr>
        <w:t xml:space="preserve">IFS in </w:t>
      </w:r>
      <w:r w:rsidR="008718C4">
        <w:rPr>
          <w:rFonts w:asciiTheme="majorHAnsi" w:eastAsia="Calibri" w:hAnsiTheme="majorHAnsi" w:cstheme="majorHAnsi"/>
          <w:bCs/>
        </w:rPr>
        <w:t>North</w:t>
      </w:r>
      <w:r>
        <w:rPr>
          <w:rFonts w:asciiTheme="majorHAnsi" w:eastAsia="Calibri" w:hAnsiTheme="majorHAnsi" w:cstheme="majorHAnsi"/>
          <w:bCs/>
        </w:rPr>
        <w:t>ern Canada remains heavily reliant on country food acquisition and food sharing because climate change and various socioeconomic factors create barriers for many families to obtain adequate food and nutrition (</w:t>
      </w:r>
      <w:proofErr w:type="spellStart"/>
      <w:r>
        <w:rPr>
          <w:rFonts w:asciiTheme="majorHAnsi" w:eastAsia="Calibri" w:hAnsiTheme="majorHAnsi" w:cstheme="majorHAnsi"/>
          <w:bCs/>
        </w:rPr>
        <w:t>Beaumier</w:t>
      </w:r>
      <w:proofErr w:type="spellEnd"/>
      <w:r>
        <w:rPr>
          <w:rFonts w:asciiTheme="majorHAnsi" w:eastAsia="Calibri" w:hAnsiTheme="majorHAnsi" w:cstheme="majorHAnsi"/>
          <w:bCs/>
        </w:rPr>
        <w:t xml:space="preserve"> &amp; Ford, 2010; Skinner</w:t>
      </w:r>
      <w:r w:rsidR="00A73DB8">
        <w:rPr>
          <w:rFonts w:asciiTheme="majorHAnsi" w:eastAsia="Calibri" w:hAnsiTheme="majorHAnsi" w:cstheme="majorHAnsi"/>
          <w:bCs/>
        </w:rPr>
        <w:t xml:space="preserve"> et al., </w:t>
      </w:r>
      <w:r>
        <w:rPr>
          <w:rFonts w:asciiTheme="majorHAnsi" w:eastAsia="Calibri" w:hAnsiTheme="majorHAnsi" w:cstheme="majorHAnsi"/>
          <w:bCs/>
        </w:rPr>
        <w:t xml:space="preserve">2013). </w:t>
      </w:r>
      <w:r w:rsidR="005D19EB" w:rsidRPr="00B5626F">
        <w:rPr>
          <w:rFonts w:asciiTheme="majorHAnsi" w:eastAsia="Calibri" w:hAnsiTheme="majorHAnsi" w:cstheme="majorHAnsi"/>
          <w:bCs/>
        </w:rPr>
        <w:t xml:space="preserve">Community participation in the annual spring hunt remains strong, with many students and workers taking holiday time to enjoy this tradition </w:t>
      </w:r>
      <w:r w:rsidR="007F6528">
        <w:rPr>
          <w:rFonts w:asciiTheme="majorHAnsi" w:eastAsia="Calibri" w:hAnsiTheme="majorHAnsi" w:cstheme="majorHAnsi"/>
          <w:bCs/>
        </w:rPr>
        <w:t xml:space="preserve">while </w:t>
      </w:r>
      <w:r w:rsidR="005D19EB" w:rsidRPr="00B5626F">
        <w:rPr>
          <w:rFonts w:asciiTheme="majorHAnsi" w:eastAsia="Calibri" w:hAnsiTheme="majorHAnsi" w:cstheme="majorHAnsi"/>
          <w:bCs/>
        </w:rPr>
        <w:t>surrounded by family; unfortunately, school and work restrictions prohibit individuals from participating in hunting year-round.</w:t>
      </w:r>
      <w:r w:rsidR="00E75EDD" w:rsidRPr="00B5626F">
        <w:rPr>
          <w:rFonts w:asciiTheme="majorHAnsi" w:eastAsia="Calibri" w:hAnsiTheme="majorHAnsi" w:cstheme="majorHAnsi"/>
          <w:bCs/>
        </w:rPr>
        <w:t xml:space="preserve"> While provisions of fresh meat are a</w:t>
      </w:r>
      <w:r w:rsidR="007E5AA7" w:rsidRPr="00B5626F">
        <w:rPr>
          <w:rFonts w:asciiTheme="majorHAnsi" w:eastAsia="Calibri" w:hAnsiTheme="majorHAnsi" w:cstheme="majorHAnsi"/>
          <w:bCs/>
        </w:rPr>
        <w:t xml:space="preserve">n incentive for many to participate in the spring hunt, </w:t>
      </w:r>
      <w:r w:rsidR="00A20460">
        <w:rPr>
          <w:rFonts w:asciiTheme="majorHAnsi" w:eastAsia="Calibri" w:hAnsiTheme="majorHAnsi" w:cstheme="majorHAnsi"/>
          <w:bCs/>
        </w:rPr>
        <w:t xml:space="preserve">however many </w:t>
      </w:r>
      <w:r w:rsidR="007E5AA7" w:rsidRPr="00B5626F">
        <w:rPr>
          <w:rFonts w:asciiTheme="majorHAnsi" w:eastAsia="Calibri" w:hAnsiTheme="majorHAnsi" w:cstheme="majorHAnsi"/>
          <w:bCs/>
        </w:rPr>
        <w:t xml:space="preserve">community members </w:t>
      </w:r>
      <w:r w:rsidR="00A20460">
        <w:rPr>
          <w:rFonts w:asciiTheme="majorHAnsi" w:eastAsia="Calibri" w:hAnsiTheme="majorHAnsi" w:cstheme="majorHAnsi"/>
          <w:bCs/>
        </w:rPr>
        <w:t>cite the</w:t>
      </w:r>
      <w:r w:rsidR="007E5AA7" w:rsidRPr="00B5626F">
        <w:rPr>
          <w:rFonts w:asciiTheme="majorHAnsi" w:eastAsia="Calibri" w:hAnsiTheme="majorHAnsi" w:cstheme="majorHAnsi"/>
          <w:bCs/>
        </w:rPr>
        <w:t xml:space="preserve"> social and cultural activities </w:t>
      </w:r>
      <w:r w:rsidR="00A20460">
        <w:rPr>
          <w:rFonts w:asciiTheme="majorHAnsi" w:eastAsia="Calibri" w:hAnsiTheme="majorHAnsi" w:cstheme="majorHAnsi"/>
          <w:bCs/>
        </w:rPr>
        <w:t xml:space="preserve">at </w:t>
      </w:r>
      <w:r w:rsidR="007E5AA7" w:rsidRPr="00B5626F">
        <w:rPr>
          <w:rFonts w:asciiTheme="majorHAnsi" w:eastAsia="Calibri" w:hAnsiTheme="majorHAnsi" w:cstheme="majorHAnsi"/>
          <w:bCs/>
        </w:rPr>
        <w:t>the hunt as having the greatest value</w:t>
      </w:r>
      <w:r w:rsidR="005D19EB" w:rsidRPr="00B5626F">
        <w:rPr>
          <w:rFonts w:asciiTheme="majorHAnsi" w:eastAsia="Calibri" w:hAnsiTheme="majorHAnsi" w:cstheme="majorHAnsi"/>
          <w:bCs/>
        </w:rPr>
        <w:t xml:space="preserve"> (</w:t>
      </w:r>
      <w:proofErr w:type="spellStart"/>
      <w:r w:rsidR="005D19EB" w:rsidRPr="00B5626F">
        <w:rPr>
          <w:rFonts w:asciiTheme="majorHAnsi" w:hAnsiTheme="majorHAnsi" w:cstheme="majorHAnsi"/>
          <w:lang w:val="en-US"/>
        </w:rPr>
        <w:t>Andrachuk</w:t>
      </w:r>
      <w:proofErr w:type="spellEnd"/>
      <w:r w:rsidR="005D19EB" w:rsidRPr="00B5626F">
        <w:rPr>
          <w:rFonts w:asciiTheme="majorHAnsi" w:hAnsiTheme="majorHAnsi" w:cstheme="majorHAnsi"/>
          <w:lang w:val="en-US"/>
        </w:rPr>
        <w:t xml:space="preserve"> &amp; Smit, 2012</w:t>
      </w:r>
      <w:r w:rsidR="007E5AA7" w:rsidRPr="00B5626F">
        <w:rPr>
          <w:rFonts w:asciiTheme="majorHAnsi" w:hAnsiTheme="majorHAnsi" w:cstheme="majorHAnsi"/>
          <w:lang w:val="en-US"/>
        </w:rPr>
        <w:t xml:space="preserve">; </w:t>
      </w:r>
      <w:proofErr w:type="spellStart"/>
      <w:r w:rsidR="007E5AA7" w:rsidRPr="00B5626F">
        <w:rPr>
          <w:rFonts w:asciiTheme="majorHAnsi" w:hAnsiTheme="majorHAnsi" w:cstheme="majorHAnsi"/>
          <w:lang w:val="en-US"/>
        </w:rPr>
        <w:t>Fillion</w:t>
      </w:r>
      <w:proofErr w:type="spellEnd"/>
      <w:r w:rsidR="007E5AA7" w:rsidRPr="00B5626F">
        <w:rPr>
          <w:rFonts w:asciiTheme="majorHAnsi" w:hAnsiTheme="majorHAnsi" w:cstheme="majorHAnsi"/>
          <w:lang w:val="en-US"/>
        </w:rPr>
        <w:t xml:space="preserve"> et al., 2014</w:t>
      </w:r>
      <w:r w:rsidR="00B5626F" w:rsidRPr="00B5626F">
        <w:rPr>
          <w:rFonts w:asciiTheme="majorHAnsi" w:hAnsiTheme="majorHAnsi" w:cstheme="majorHAnsi"/>
          <w:lang w:val="en-US"/>
        </w:rPr>
        <w:t xml:space="preserve">; </w:t>
      </w:r>
      <w:proofErr w:type="spellStart"/>
      <w:r w:rsidR="00B5626F" w:rsidRPr="00B5626F">
        <w:rPr>
          <w:rFonts w:asciiTheme="majorHAnsi" w:eastAsia="Calibri" w:hAnsiTheme="majorHAnsi" w:cstheme="majorHAnsi"/>
          <w:bCs/>
        </w:rPr>
        <w:t>Wesche</w:t>
      </w:r>
      <w:proofErr w:type="spellEnd"/>
      <w:r w:rsidR="00B5626F" w:rsidRPr="00B5626F">
        <w:rPr>
          <w:rFonts w:asciiTheme="majorHAnsi" w:eastAsia="Calibri" w:hAnsiTheme="majorHAnsi" w:cstheme="majorHAnsi"/>
          <w:bCs/>
        </w:rPr>
        <w:t xml:space="preserve"> &amp; Chan, 2010)</w:t>
      </w:r>
      <w:r w:rsidR="000A1CD9">
        <w:rPr>
          <w:rFonts w:asciiTheme="majorHAnsi" w:eastAsia="Calibri" w:hAnsiTheme="majorHAnsi" w:cstheme="majorHAnsi"/>
          <w:bCs/>
        </w:rPr>
        <w:t xml:space="preserve">. </w:t>
      </w:r>
      <w:r w:rsidR="007941B5">
        <w:rPr>
          <w:rFonts w:asciiTheme="majorHAnsi" w:eastAsia="Calibri" w:hAnsiTheme="majorHAnsi" w:cstheme="majorHAnsi"/>
          <w:bCs/>
        </w:rPr>
        <w:t xml:space="preserve">Barriers to traditional methods of hunting and communal food sharing include increased cost of hunting equipment and ammunition, contamination risks, lack of </w:t>
      </w:r>
      <w:r w:rsidR="000A1CD9">
        <w:rPr>
          <w:rFonts w:asciiTheme="majorHAnsi" w:eastAsia="Calibri" w:hAnsiTheme="majorHAnsi" w:cstheme="majorHAnsi"/>
          <w:bCs/>
        </w:rPr>
        <w:t>skills</w:t>
      </w:r>
      <w:r w:rsidR="007941B5">
        <w:rPr>
          <w:rFonts w:asciiTheme="majorHAnsi" w:eastAsia="Calibri" w:hAnsiTheme="majorHAnsi" w:cstheme="majorHAnsi"/>
          <w:bCs/>
        </w:rPr>
        <w:t xml:space="preserve"> and climate-related changes in migration patterns, ultimately resulting in decreased consumption of country food (Sheehy, Roache, &amp; Sharma, 2013). </w:t>
      </w:r>
      <w:r w:rsidR="007E5AA7">
        <w:rPr>
          <w:rFonts w:asciiTheme="majorHAnsi" w:hAnsiTheme="majorHAnsi" w:cstheme="majorHAnsi"/>
          <w:lang w:val="en-US"/>
        </w:rPr>
        <w:t>Issues around harvesting country foods impact Inuit livelihood</w:t>
      </w:r>
      <w:r w:rsidR="00A73DB8">
        <w:rPr>
          <w:rFonts w:asciiTheme="majorHAnsi" w:hAnsiTheme="majorHAnsi" w:cstheme="majorHAnsi"/>
          <w:lang w:val="en-US"/>
        </w:rPr>
        <w:t xml:space="preserve"> </w:t>
      </w:r>
      <w:r w:rsidR="007E5AA7">
        <w:rPr>
          <w:rFonts w:asciiTheme="majorHAnsi" w:hAnsiTheme="majorHAnsi" w:cstheme="majorHAnsi"/>
          <w:lang w:val="en-US"/>
        </w:rPr>
        <w:t>because Indigenous communities around all of the circumpolar area rely on them for sustenance due to cost and availability of other food sources; country foods provide nutrient-dense nourishment and are vital to Inuit identity and culture (</w:t>
      </w:r>
      <w:proofErr w:type="spellStart"/>
      <w:r w:rsidR="007E5AA7">
        <w:rPr>
          <w:rFonts w:asciiTheme="majorHAnsi" w:hAnsiTheme="majorHAnsi" w:cstheme="majorHAnsi"/>
          <w:lang w:val="en-US"/>
        </w:rPr>
        <w:t>Fillion</w:t>
      </w:r>
      <w:proofErr w:type="spellEnd"/>
      <w:r w:rsidR="007E5AA7">
        <w:rPr>
          <w:rFonts w:asciiTheme="majorHAnsi" w:hAnsiTheme="majorHAnsi" w:cstheme="majorHAnsi"/>
          <w:lang w:val="en-US"/>
        </w:rPr>
        <w:t xml:space="preserve"> et al., 2014). </w:t>
      </w:r>
      <w:r w:rsidR="0064677F">
        <w:rPr>
          <w:rFonts w:asciiTheme="majorHAnsi" w:hAnsiTheme="majorHAnsi" w:cstheme="majorHAnsi"/>
          <w:lang w:val="en-US"/>
        </w:rPr>
        <w:t>Genuine access to country foods for Inuit entails a sufficient amount of nutritious and culturally acceptable food that preserves Inuit culture and health</w:t>
      </w:r>
      <w:r w:rsidR="00A20460">
        <w:rPr>
          <w:rFonts w:asciiTheme="majorHAnsi" w:hAnsiTheme="majorHAnsi" w:cstheme="majorHAnsi"/>
          <w:lang w:val="en-US"/>
        </w:rPr>
        <w:t xml:space="preserve">. </w:t>
      </w:r>
      <w:r w:rsidR="0064677F">
        <w:rPr>
          <w:rFonts w:asciiTheme="majorHAnsi" w:hAnsiTheme="majorHAnsi" w:cstheme="majorHAnsi"/>
          <w:lang w:val="en-US"/>
        </w:rPr>
        <w:t xml:space="preserve">Country foods positively impact physical health, mental wellbeing and social involvement while promoting longevity of Inuit culture </w:t>
      </w:r>
      <w:r w:rsidR="0064677F" w:rsidRPr="005A0CC5">
        <w:rPr>
          <w:rFonts w:asciiTheme="majorHAnsi" w:eastAsia="Calibri" w:hAnsiTheme="majorHAnsi" w:cstheme="majorHAnsi"/>
          <w:bCs/>
        </w:rPr>
        <w:t>(</w:t>
      </w:r>
      <w:proofErr w:type="spellStart"/>
      <w:r w:rsidR="0064677F" w:rsidRPr="005A0CC5">
        <w:rPr>
          <w:rFonts w:asciiTheme="majorHAnsi" w:eastAsia="Calibri" w:hAnsiTheme="majorHAnsi" w:cstheme="majorHAnsi"/>
          <w:bCs/>
        </w:rPr>
        <w:t>Rosol</w:t>
      </w:r>
      <w:proofErr w:type="spellEnd"/>
      <w:r w:rsidR="0064677F" w:rsidRPr="005A0CC5">
        <w:rPr>
          <w:rFonts w:asciiTheme="majorHAnsi" w:eastAsia="Calibri" w:hAnsiTheme="majorHAnsi" w:cstheme="majorHAnsi"/>
          <w:bCs/>
        </w:rPr>
        <w:t>, Powell-Hellyer, &amp; Chan, 2016</w:t>
      </w:r>
      <w:r w:rsidR="0064677F">
        <w:rPr>
          <w:rFonts w:asciiTheme="majorHAnsi" w:eastAsia="Calibri" w:hAnsiTheme="majorHAnsi" w:cstheme="majorHAnsi"/>
          <w:bCs/>
        </w:rPr>
        <w:t>)</w:t>
      </w:r>
      <w:r w:rsidR="000A1CD9">
        <w:rPr>
          <w:rFonts w:asciiTheme="majorHAnsi" w:eastAsia="Calibri" w:hAnsiTheme="majorHAnsi" w:cstheme="majorHAnsi"/>
          <w:bCs/>
        </w:rPr>
        <w:t xml:space="preserve">. </w:t>
      </w:r>
      <w:r w:rsidR="00B9580D">
        <w:rPr>
          <w:rFonts w:asciiTheme="majorHAnsi" w:hAnsiTheme="majorHAnsi" w:cstheme="majorHAnsi"/>
          <w:lang w:val="en-US"/>
        </w:rPr>
        <w:t>Inuit populations have 10 times higher levels of omega-3 fatty acid</w:t>
      </w:r>
      <w:r w:rsidR="00A20460">
        <w:rPr>
          <w:rFonts w:asciiTheme="majorHAnsi" w:hAnsiTheme="majorHAnsi" w:cstheme="majorHAnsi"/>
          <w:lang w:val="en-US"/>
        </w:rPr>
        <w:t xml:space="preserve"> intake</w:t>
      </w:r>
      <w:r w:rsidR="00B9580D">
        <w:rPr>
          <w:rFonts w:asciiTheme="majorHAnsi" w:hAnsiTheme="majorHAnsi" w:cstheme="majorHAnsi"/>
          <w:lang w:val="en-US"/>
        </w:rPr>
        <w:t xml:space="preserve"> than the rest of the Canadian population, which are known to protect against heart disease, because of their continued reliance of country foods. Despite high consumption of omega-3 fatty acids, the shift from country foods to market foods has led to an increased occurrence of obesity, diabetes, heart disease and anemia</w:t>
      </w:r>
      <w:r w:rsidR="00947224">
        <w:rPr>
          <w:rFonts w:asciiTheme="majorHAnsi" w:hAnsiTheme="majorHAnsi" w:cstheme="majorHAnsi"/>
          <w:lang w:val="en-US"/>
        </w:rPr>
        <w:t xml:space="preserve"> in Inuit communities</w:t>
      </w:r>
      <w:r w:rsidR="00B9580D">
        <w:rPr>
          <w:rFonts w:asciiTheme="majorHAnsi" w:hAnsiTheme="majorHAnsi" w:cstheme="majorHAnsi"/>
          <w:lang w:val="en-US"/>
        </w:rPr>
        <w:t>. Poor nutrition resulting from increased intake of market foods diminishes the immune system and</w:t>
      </w:r>
      <w:r w:rsidR="00947224">
        <w:rPr>
          <w:rFonts w:asciiTheme="majorHAnsi" w:hAnsiTheme="majorHAnsi" w:cstheme="majorHAnsi"/>
          <w:lang w:val="en-US"/>
        </w:rPr>
        <w:t xml:space="preserve"> also </w:t>
      </w:r>
      <w:r w:rsidR="00B9580D">
        <w:rPr>
          <w:rFonts w:asciiTheme="majorHAnsi" w:hAnsiTheme="majorHAnsi" w:cstheme="majorHAnsi"/>
          <w:lang w:val="en-US"/>
        </w:rPr>
        <w:t>increases susceptibility to disease (</w:t>
      </w:r>
      <w:proofErr w:type="spellStart"/>
      <w:r w:rsidR="007833E8" w:rsidRPr="007833E8">
        <w:rPr>
          <w:rFonts w:asciiTheme="majorHAnsi" w:eastAsia="Times New Roman" w:hAnsiTheme="majorHAnsi" w:cstheme="majorHAnsi"/>
          <w:color w:val="000000"/>
        </w:rPr>
        <w:t>Bonesteel</w:t>
      </w:r>
      <w:proofErr w:type="spellEnd"/>
      <w:r w:rsidR="007833E8" w:rsidRPr="007833E8">
        <w:rPr>
          <w:rFonts w:asciiTheme="majorHAnsi" w:eastAsia="Times New Roman" w:hAnsiTheme="majorHAnsi" w:cstheme="majorHAnsi"/>
          <w:color w:val="000000"/>
        </w:rPr>
        <w:t>, 2006</w:t>
      </w:r>
      <w:r w:rsidR="00B9580D">
        <w:rPr>
          <w:rFonts w:asciiTheme="majorHAnsi" w:hAnsiTheme="majorHAnsi" w:cstheme="majorHAnsi"/>
          <w:lang w:val="en-US"/>
        </w:rPr>
        <w:t xml:space="preserve">). </w:t>
      </w:r>
      <w:r w:rsidR="00B9580D">
        <w:rPr>
          <w:rFonts w:asciiTheme="majorHAnsi" w:eastAsia="Calibri" w:hAnsiTheme="majorHAnsi" w:cstheme="majorHAnsi"/>
          <w:bCs/>
        </w:rPr>
        <w:t>The significant contrast in prices between processed and perishable foods provides some reasoning for the rapid transition away from healthful foods (Kenny et al., 2018).</w:t>
      </w:r>
      <w:r w:rsidR="00600D5F">
        <w:rPr>
          <w:rFonts w:asciiTheme="majorHAnsi" w:eastAsia="Calibri" w:hAnsiTheme="majorHAnsi" w:cstheme="majorHAnsi"/>
          <w:bCs/>
        </w:rPr>
        <w:t xml:space="preserve"> </w:t>
      </w:r>
      <w:r w:rsidR="00B9580D">
        <w:rPr>
          <w:rFonts w:asciiTheme="majorHAnsi" w:eastAsia="Calibri" w:hAnsiTheme="majorHAnsi" w:cstheme="majorHAnsi"/>
          <w:bCs/>
        </w:rPr>
        <w:t>The climate crisis significantly affects food security, health, and overall well-being due to the intrinsic cultural relationship between Inuit and the environment (</w:t>
      </w:r>
      <w:proofErr w:type="spellStart"/>
      <w:r w:rsidR="00B9580D">
        <w:rPr>
          <w:rFonts w:asciiTheme="majorHAnsi" w:eastAsia="Calibri" w:hAnsiTheme="majorHAnsi" w:cstheme="majorHAnsi"/>
          <w:bCs/>
        </w:rPr>
        <w:t>Wesche</w:t>
      </w:r>
      <w:proofErr w:type="spellEnd"/>
      <w:r w:rsidR="00B9580D">
        <w:rPr>
          <w:rFonts w:asciiTheme="majorHAnsi" w:eastAsia="Calibri" w:hAnsiTheme="majorHAnsi" w:cstheme="majorHAnsi"/>
          <w:bCs/>
        </w:rPr>
        <w:t xml:space="preserve">, O’Hare-Gordon, </w:t>
      </w:r>
      <w:proofErr w:type="spellStart"/>
      <w:r w:rsidR="00B9580D">
        <w:rPr>
          <w:rFonts w:asciiTheme="majorHAnsi" w:eastAsia="Calibri" w:hAnsiTheme="majorHAnsi" w:cstheme="majorHAnsi"/>
          <w:bCs/>
        </w:rPr>
        <w:t>Robidoux</w:t>
      </w:r>
      <w:proofErr w:type="spellEnd"/>
      <w:r w:rsidR="00B9580D">
        <w:rPr>
          <w:rFonts w:asciiTheme="majorHAnsi" w:eastAsia="Calibri" w:hAnsiTheme="majorHAnsi" w:cstheme="majorHAnsi"/>
          <w:bCs/>
        </w:rPr>
        <w:t xml:space="preserve">, &amp; Mason, 2016). </w:t>
      </w:r>
      <w:r w:rsidR="000A1CD9" w:rsidRPr="007E3162">
        <w:rPr>
          <w:rFonts w:asciiTheme="majorHAnsi" w:eastAsia="Calibri" w:hAnsiTheme="majorHAnsi" w:cstheme="majorHAnsi"/>
          <w:bCs/>
        </w:rPr>
        <w:t xml:space="preserve">Climate change </w:t>
      </w:r>
      <w:r w:rsidR="000A1CD9">
        <w:rPr>
          <w:rFonts w:asciiTheme="majorHAnsi" w:eastAsia="Calibri" w:hAnsiTheme="majorHAnsi" w:cstheme="majorHAnsi"/>
          <w:bCs/>
        </w:rPr>
        <w:t xml:space="preserve">further </w:t>
      </w:r>
      <w:r w:rsidR="000A1CD9" w:rsidRPr="007E3162">
        <w:rPr>
          <w:rFonts w:asciiTheme="majorHAnsi" w:eastAsia="Calibri" w:hAnsiTheme="majorHAnsi" w:cstheme="majorHAnsi"/>
          <w:bCs/>
        </w:rPr>
        <w:t>interferes with accessibility of country food resources and increases wildlife susceptibility of disease while simultaneously increasing mobilization and biomagnification of contaminants</w:t>
      </w:r>
      <w:r w:rsidR="00947224">
        <w:rPr>
          <w:rFonts w:asciiTheme="majorHAnsi" w:eastAsia="Calibri" w:hAnsiTheme="majorHAnsi" w:cstheme="majorHAnsi"/>
          <w:bCs/>
        </w:rPr>
        <w:t xml:space="preserve">, </w:t>
      </w:r>
      <w:r w:rsidR="000A1CD9" w:rsidRPr="007E3162">
        <w:rPr>
          <w:rFonts w:asciiTheme="majorHAnsi" w:eastAsia="Calibri" w:hAnsiTheme="majorHAnsi" w:cstheme="majorHAnsi"/>
          <w:bCs/>
        </w:rPr>
        <w:t>affecting</w:t>
      </w:r>
      <w:r w:rsidR="00947224">
        <w:rPr>
          <w:rFonts w:asciiTheme="majorHAnsi" w:eastAsia="Calibri" w:hAnsiTheme="majorHAnsi" w:cstheme="majorHAnsi"/>
          <w:bCs/>
        </w:rPr>
        <w:t xml:space="preserve"> both</w:t>
      </w:r>
      <w:r w:rsidR="000A1CD9" w:rsidRPr="007E3162">
        <w:rPr>
          <w:rFonts w:asciiTheme="majorHAnsi" w:eastAsia="Calibri" w:hAnsiTheme="majorHAnsi" w:cstheme="majorHAnsi"/>
          <w:bCs/>
        </w:rPr>
        <w:t xml:space="preserve"> human and ecosystem health (Dudley, </w:t>
      </w:r>
      <w:proofErr w:type="spellStart"/>
      <w:r w:rsidR="000A1CD9" w:rsidRPr="007E3162">
        <w:rPr>
          <w:rFonts w:asciiTheme="majorHAnsi" w:eastAsia="Calibri" w:hAnsiTheme="majorHAnsi" w:cstheme="majorHAnsi"/>
          <w:bCs/>
        </w:rPr>
        <w:t>Hoberg</w:t>
      </w:r>
      <w:proofErr w:type="spellEnd"/>
      <w:r w:rsidR="000A1CD9" w:rsidRPr="007E3162">
        <w:rPr>
          <w:rFonts w:asciiTheme="majorHAnsi" w:eastAsia="Calibri" w:hAnsiTheme="majorHAnsi" w:cstheme="majorHAnsi"/>
          <w:bCs/>
        </w:rPr>
        <w:t>, Jenkins, &amp; Parkinson, 2015)</w:t>
      </w:r>
      <w:r w:rsidR="00B9580D">
        <w:rPr>
          <w:rFonts w:asciiTheme="majorHAnsi" w:eastAsia="Calibri" w:hAnsiTheme="majorHAnsi" w:cstheme="majorHAnsi"/>
          <w:bCs/>
        </w:rPr>
        <w:t xml:space="preserve">. </w:t>
      </w:r>
      <w:r w:rsidR="00B5626F">
        <w:rPr>
          <w:rFonts w:asciiTheme="majorHAnsi" w:hAnsiTheme="majorHAnsi" w:cstheme="majorHAnsi"/>
          <w:lang w:val="en-US"/>
        </w:rPr>
        <w:t>Indigenous</w:t>
      </w:r>
      <w:r w:rsidR="001A5ED6">
        <w:rPr>
          <w:rFonts w:asciiTheme="majorHAnsi" w:hAnsiTheme="majorHAnsi" w:cstheme="majorHAnsi"/>
          <w:lang w:val="en-US"/>
        </w:rPr>
        <w:t xml:space="preserve"> research</w:t>
      </w:r>
      <w:r w:rsidR="00B5626F">
        <w:rPr>
          <w:rFonts w:asciiTheme="majorHAnsi" w:hAnsiTheme="majorHAnsi" w:cstheme="majorHAnsi"/>
          <w:lang w:val="en-US"/>
        </w:rPr>
        <w:t xml:space="preserve"> </w:t>
      </w:r>
      <w:r w:rsidR="001A5ED6">
        <w:rPr>
          <w:rFonts w:asciiTheme="majorHAnsi" w:hAnsiTheme="majorHAnsi" w:cstheme="majorHAnsi"/>
          <w:lang w:val="en-US"/>
        </w:rPr>
        <w:t xml:space="preserve">participants have identified </w:t>
      </w:r>
      <w:r w:rsidR="001A5ED6">
        <w:rPr>
          <w:rFonts w:asciiTheme="majorHAnsi" w:hAnsiTheme="majorHAnsi" w:cstheme="majorHAnsi"/>
          <w:lang w:val="en-US"/>
        </w:rPr>
        <w:lastRenderedPageBreak/>
        <w:t>that support at the individual, family and community level in pursuing harvesting of country foods as the most beneficial strategy to alleviate household food insecurity</w:t>
      </w:r>
      <w:r w:rsidR="00F636B9">
        <w:rPr>
          <w:rFonts w:asciiTheme="majorHAnsi" w:hAnsiTheme="majorHAnsi" w:cstheme="majorHAnsi"/>
          <w:lang w:val="en-US"/>
        </w:rPr>
        <w:t xml:space="preserve">. </w:t>
      </w:r>
      <w:r w:rsidR="001A5ED6">
        <w:rPr>
          <w:rFonts w:asciiTheme="majorHAnsi" w:hAnsiTheme="majorHAnsi" w:cstheme="majorHAnsi"/>
          <w:lang w:val="en-US"/>
        </w:rPr>
        <w:t>Research has also found that a desire to pursue health and wellness education exists in Inuit communities and is a potential tool for empowerment (</w:t>
      </w:r>
      <w:proofErr w:type="spellStart"/>
      <w:r w:rsidR="001A5ED6">
        <w:rPr>
          <w:rFonts w:asciiTheme="majorHAnsi" w:hAnsiTheme="majorHAnsi" w:cstheme="majorHAnsi"/>
          <w:lang w:val="en-US"/>
        </w:rPr>
        <w:t>Fillion</w:t>
      </w:r>
      <w:proofErr w:type="spellEnd"/>
      <w:r w:rsidR="001A5ED6">
        <w:rPr>
          <w:rFonts w:asciiTheme="majorHAnsi" w:hAnsiTheme="majorHAnsi" w:cstheme="majorHAnsi"/>
          <w:lang w:val="en-US"/>
        </w:rPr>
        <w:t xml:space="preserve"> et al., 2014). </w:t>
      </w:r>
      <w:r w:rsidR="00B9580D">
        <w:rPr>
          <w:rFonts w:asciiTheme="majorHAnsi" w:eastAsia="Calibri" w:hAnsiTheme="majorHAnsi" w:cstheme="majorHAnsi"/>
          <w:bCs/>
        </w:rPr>
        <w:t xml:space="preserve">Government support at municipal, territorial and federal </w:t>
      </w:r>
      <w:r w:rsidR="007F6528">
        <w:rPr>
          <w:rFonts w:asciiTheme="majorHAnsi" w:eastAsia="Calibri" w:hAnsiTheme="majorHAnsi" w:cstheme="majorHAnsi"/>
          <w:bCs/>
        </w:rPr>
        <w:t>levels</w:t>
      </w:r>
      <w:r w:rsidR="00947224">
        <w:rPr>
          <w:rFonts w:asciiTheme="majorHAnsi" w:eastAsia="Calibri" w:hAnsiTheme="majorHAnsi" w:cstheme="majorHAnsi"/>
          <w:bCs/>
        </w:rPr>
        <w:t xml:space="preserve"> would </w:t>
      </w:r>
      <w:r w:rsidR="00B9580D">
        <w:rPr>
          <w:rFonts w:asciiTheme="majorHAnsi" w:eastAsia="Calibri" w:hAnsiTheme="majorHAnsi" w:cstheme="majorHAnsi"/>
          <w:bCs/>
        </w:rPr>
        <w:t>enhance community efforts, strengthen local food sovereignty</w:t>
      </w:r>
      <w:r w:rsidR="00947224">
        <w:rPr>
          <w:rFonts w:asciiTheme="majorHAnsi" w:eastAsia="Calibri" w:hAnsiTheme="majorHAnsi" w:cstheme="majorHAnsi"/>
          <w:bCs/>
        </w:rPr>
        <w:t>,</w:t>
      </w:r>
      <w:r w:rsidR="00B9580D">
        <w:rPr>
          <w:rFonts w:asciiTheme="majorHAnsi" w:eastAsia="Calibri" w:hAnsiTheme="majorHAnsi" w:cstheme="majorHAnsi"/>
          <w:bCs/>
        </w:rPr>
        <w:t xml:space="preserve"> and decrease future vulnerability (</w:t>
      </w:r>
      <w:proofErr w:type="spellStart"/>
      <w:r w:rsidR="00B9580D">
        <w:rPr>
          <w:rFonts w:asciiTheme="majorHAnsi" w:eastAsia="Calibri" w:hAnsiTheme="majorHAnsi" w:cstheme="majorHAnsi"/>
          <w:bCs/>
        </w:rPr>
        <w:t>Beaumier</w:t>
      </w:r>
      <w:proofErr w:type="spellEnd"/>
      <w:r w:rsidR="00B9580D">
        <w:rPr>
          <w:rFonts w:asciiTheme="majorHAnsi" w:eastAsia="Calibri" w:hAnsiTheme="majorHAnsi" w:cstheme="majorHAnsi"/>
          <w:bCs/>
        </w:rPr>
        <w:t xml:space="preserve"> &amp; Ford, 2010). </w:t>
      </w:r>
    </w:p>
    <w:p w14:paraId="39A73227" w14:textId="4D987800" w:rsidR="001A5ED6" w:rsidRDefault="001A5ED6" w:rsidP="005D19EB">
      <w:pPr>
        <w:autoSpaceDE w:val="0"/>
        <w:autoSpaceDN w:val="0"/>
        <w:adjustRightInd w:val="0"/>
        <w:contextualSpacing/>
        <w:rPr>
          <w:rFonts w:asciiTheme="majorHAnsi" w:hAnsiTheme="majorHAnsi" w:cstheme="majorHAnsi"/>
          <w:lang w:val="en-US"/>
        </w:rPr>
      </w:pPr>
    </w:p>
    <w:p w14:paraId="754B60C6" w14:textId="16D1B710" w:rsidR="003111DB" w:rsidRDefault="005B5558" w:rsidP="002A2623">
      <w:pPr>
        <w:autoSpaceDE w:val="0"/>
        <w:autoSpaceDN w:val="0"/>
        <w:adjustRightInd w:val="0"/>
        <w:contextualSpacing/>
        <w:rPr>
          <w:rFonts w:asciiTheme="majorHAnsi" w:hAnsiTheme="majorHAnsi" w:cstheme="majorHAnsi"/>
          <w:lang w:val="en-US"/>
        </w:rPr>
      </w:pPr>
      <w:r>
        <w:rPr>
          <w:rFonts w:asciiTheme="majorHAnsi" w:hAnsiTheme="majorHAnsi" w:cstheme="majorHAnsi"/>
          <w:lang w:val="en-US"/>
        </w:rPr>
        <w:t>While</w:t>
      </w:r>
      <w:r w:rsidR="00F43814">
        <w:rPr>
          <w:rFonts w:asciiTheme="majorHAnsi" w:hAnsiTheme="majorHAnsi" w:cstheme="majorHAnsi"/>
          <w:lang w:val="en-US"/>
        </w:rPr>
        <w:t xml:space="preserve"> country</w:t>
      </w:r>
      <w:r>
        <w:rPr>
          <w:rFonts w:asciiTheme="majorHAnsi" w:hAnsiTheme="majorHAnsi" w:cstheme="majorHAnsi"/>
          <w:lang w:val="en-US"/>
        </w:rPr>
        <w:t xml:space="preserve"> foods remain the most nutrient</w:t>
      </w:r>
      <w:r w:rsidR="00FC3335">
        <w:rPr>
          <w:rFonts w:asciiTheme="majorHAnsi" w:hAnsiTheme="majorHAnsi" w:cstheme="majorHAnsi"/>
          <w:lang w:val="en-US"/>
        </w:rPr>
        <w:t>-</w:t>
      </w:r>
      <w:r>
        <w:rPr>
          <w:rFonts w:asciiTheme="majorHAnsi" w:hAnsiTheme="majorHAnsi" w:cstheme="majorHAnsi"/>
          <w:lang w:val="en-US"/>
        </w:rPr>
        <w:t>dense</w:t>
      </w:r>
      <w:r w:rsidR="002A2623">
        <w:rPr>
          <w:rFonts w:asciiTheme="majorHAnsi" w:hAnsiTheme="majorHAnsi" w:cstheme="majorHAnsi"/>
          <w:lang w:val="en-US"/>
        </w:rPr>
        <w:t xml:space="preserve">, culturally </w:t>
      </w:r>
      <w:r w:rsidR="00F43814">
        <w:rPr>
          <w:rFonts w:asciiTheme="majorHAnsi" w:hAnsiTheme="majorHAnsi" w:cstheme="majorHAnsi"/>
          <w:lang w:val="en-US"/>
        </w:rPr>
        <w:t xml:space="preserve">preferred </w:t>
      </w:r>
      <w:r w:rsidR="002A2623">
        <w:rPr>
          <w:rFonts w:asciiTheme="majorHAnsi" w:hAnsiTheme="majorHAnsi" w:cstheme="majorHAnsi"/>
          <w:lang w:val="en-US"/>
        </w:rPr>
        <w:t>and economic</w:t>
      </w:r>
      <w:r>
        <w:rPr>
          <w:rFonts w:asciiTheme="majorHAnsi" w:hAnsiTheme="majorHAnsi" w:cstheme="majorHAnsi"/>
          <w:lang w:val="en-US"/>
        </w:rPr>
        <w:t xml:space="preserve"> form of sustenance for Inuit, there are contamination risks associated with </w:t>
      </w:r>
      <w:r w:rsidR="00F43814">
        <w:rPr>
          <w:rFonts w:asciiTheme="majorHAnsi" w:hAnsiTheme="majorHAnsi" w:cstheme="majorHAnsi"/>
          <w:lang w:val="en-US"/>
        </w:rPr>
        <w:t>heavy consumption</w:t>
      </w:r>
      <w:r>
        <w:rPr>
          <w:rFonts w:asciiTheme="majorHAnsi" w:hAnsiTheme="majorHAnsi" w:cstheme="majorHAnsi"/>
          <w:lang w:val="en-US"/>
        </w:rPr>
        <w:t xml:space="preserve">. Entire food systems amongst </w:t>
      </w:r>
      <w:r w:rsidR="008718C4">
        <w:rPr>
          <w:rFonts w:asciiTheme="majorHAnsi" w:hAnsiTheme="majorHAnsi" w:cstheme="majorHAnsi"/>
          <w:lang w:val="en-US"/>
        </w:rPr>
        <w:t>North</w:t>
      </w:r>
      <w:r>
        <w:rPr>
          <w:rFonts w:asciiTheme="majorHAnsi" w:hAnsiTheme="majorHAnsi" w:cstheme="majorHAnsi"/>
          <w:lang w:val="en-US"/>
        </w:rPr>
        <w:t xml:space="preserve">ern Indigenous communities have been polluted with heavy metals, </w:t>
      </w:r>
      <w:r w:rsidR="002A2623">
        <w:rPr>
          <w:rFonts w:asciiTheme="majorHAnsi" w:hAnsiTheme="majorHAnsi" w:cstheme="majorHAnsi"/>
          <w:lang w:val="en-US"/>
        </w:rPr>
        <w:t>persistent organic pollutants</w:t>
      </w:r>
      <w:r w:rsidR="00FC3335">
        <w:rPr>
          <w:rFonts w:asciiTheme="majorHAnsi" w:hAnsiTheme="majorHAnsi" w:cstheme="majorHAnsi"/>
          <w:lang w:val="en-US"/>
        </w:rPr>
        <w:t xml:space="preserve"> and </w:t>
      </w:r>
      <w:r>
        <w:rPr>
          <w:rFonts w:asciiTheme="majorHAnsi" w:hAnsiTheme="majorHAnsi" w:cstheme="majorHAnsi"/>
          <w:lang w:val="en-US"/>
        </w:rPr>
        <w:t>radionuclide contaminants, all of which are hazardous for human health</w:t>
      </w:r>
      <w:r w:rsidR="00F43814">
        <w:rPr>
          <w:rFonts w:asciiTheme="majorHAnsi" w:hAnsiTheme="majorHAnsi" w:cstheme="majorHAnsi"/>
          <w:lang w:val="en-US"/>
        </w:rPr>
        <w:t xml:space="preserve">, especially breastfed babies </w:t>
      </w:r>
      <w:r>
        <w:rPr>
          <w:rFonts w:asciiTheme="majorHAnsi" w:hAnsiTheme="majorHAnsi" w:cstheme="majorHAnsi"/>
          <w:lang w:val="en-US"/>
        </w:rPr>
        <w:t>(Kuhnlein &amp; Chan, 2000).</w:t>
      </w:r>
      <w:r w:rsidR="002A2623">
        <w:rPr>
          <w:rFonts w:asciiTheme="majorHAnsi" w:hAnsiTheme="majorHAnsi" w:cstheme="majorHAnsi"/>
          <w:lang w:val="en-US"/>
        </w:rPr>
        <w:t xml:space="preserve"> Indian and </w:t>
      </w:r>
      <w:r w:rsidR="008718C4">
        <w:rPr>
          <w:rFonts w:asciiTheme="majorHAnsi" w:hAnsiTheme="majorHAnsi" w:cstheme="majorHAnsi"/>
          <w:lang w:val="en-US"/>
        </w:rPr>
        <w:t>North</w:t>
      </w:r>
      <w:r w:rsidR="002A2623">
        <w:rPr>
          <w:rFonts w:asciiTheme="majorHAnsi" w:hAnsiTheme="majorHAnsi" w:cstheme="majorHAnsi"/>
          <w:lang w:val="en-US"/>
        </w:rPr>
        <w:t xml:space="preserve">ern Affairs Canada’s </w:t>
      </w:r>
      <w:r w:rsidR="008718C4">
        <w:rPr>
          <w:rFonts w:asciiTheme="majorHAnsi" w:hAnsiTheme="majorHAnsi" w:cstheme="majorHAnsi"/>
          <w:lang w:val="en-US"/>
        </w:rPr>
        <w:t>North</w:t>
      </w:r>
      <w:r w:rsidR="002A2623">
        <w:rPr>
          <w:rFonts w:asciiTheme="majorHAnsi" w:hAnsiTheme="majorHAnsi" w:cstheme="majorHAnsi"/>
          <w:lang w:val="en-US"/>
        </w:rPr>
        <w:t xml:space="preserve">ern Contaminants Program has discovered high levels of the aforementioned contaminants in Arctic water, land, air and human residents. </w:t>
      </w:r>
      <w:r w:rsidR="00B9580D">
        <w:rPr>
          <w:rFonts w:asciiTheme="majorHAnsi" w:hAnsiTheme="majorHAnsi" w:cstheme="majorHAnsi"/>
          <w:lang w:val="en-US"/>
        </w:rPr>
        <w:t>Specifically, seal, walrus, caribou, Arctic char and whale</w:t>
      </w:r>
      <w:r w:rsidR="00FC3335">
        <w:rPr>
          <w:rFonts w:asciiTheme="majorHAnsi" w:hAnsiTheme="majorHAnsi" w:cstheme="majorHAnsi"/>
          <w:lang w:val="en-US"/>
        </w:rPr>
        <w:t>,</w:t>
      </w:r>
      <w:r w:rsidR="00B9580D">
        <w:rPr>
          <w:rFonts w:asciiTheme="majorHAnsi" w:hAnsiTheme="majorHAnsi" w:cstheme="majorHAnsi"/>
          <w:lang w:val="en-US"/>
        </w:rPr>
        <w:t xml:space="preserve"> </w:t>
      </w:r>
      <w:r w:rsidR="00D13791">
        <w:rPr>
          <w:rFonts w:asciiTheme="majorHAnsi" w:hAnsiTheme="majorHAnsi" w:cstheme="majorHAnsi"/>
          <w:lang w:val="en-US"/>
        </w:rPr>
        <w:t xml:space="preserve">which </w:t>
      </w:r>
      <w:r w:rsidR="00B9580D">
        <w:rPr>
          <w:rFonts w:asciiTheme="majorHAnsi" w:hAnsiTheme="majorHAnsi" w:cstheme="majorHAnsi"/>
          <w:lang w:val="en-US"/>
        </w:rPr>
        <w:t>provide vital sources of minerals, vitamins and omega-3 fatty acids</w:t>
      </w:r>
      <w:r w:rsidR="00FC3335">
        <w:rPr>
          <w:rFonts w:asciiTheme="majorHAnsi" w:hAnsiTheme="majorHAnsi" w:cstheme="majorHAnsi"/>
          <w:lang w:val="en-US"/>
        </w:rPr>
        <w:t>,</w:t>
      </w:r>
      <w:r w:rsidR="00B9580D">
        <w:rPr>
          <w:rFonts w:asciiTheme="majorHAnsi" w:hAnsiTheme="majorHAnsi" w:cstheme="majorHAnsi"/>
          <w:lang w:val="en-US"/>
        </w:rPr>
        <w:t xml:space="preserve"> have been identified as sources of high contaminants such as mercury and polychlorinated biphenyls (</w:t>
      </w:r>
      <w:proofErr w:type="spellStart"/>
      <w:r w:rsidR="007833E8" w:rsidRPr="007833E8">
        <w:rPr>
          <w:rFonts w:asciiTheme="majorHAnsi" w:eastAsia="Times New Roman" w:hAnsiTheme="majorHAnsi" w:cstheme="majorHAnsi"/>
          <w:color w:val="000000"/>
        </w:rPr>
        <w:t>Bonesteel</w:t>
      </w:r>
      <w:proofErr w:type="spellEnd"/>
      <w:r w:rsidR="007833E8" w:rsidRPr="007833E8">
        <w:rPr>
          <w:rFonts w:asciiTheme="majorHAnsi" w:eastAsia="Times New Roman" w:hAnsiTheme="majorHAnsi" w:cstheme="majorHAnsi"/>
          <w:color w:val="000000"/>
        </w:rPr>
        <w:t>, 2006</w:t>
      </w:r>
      <w:r w:rsidR="00B9580D">
        <w:rPr>
          <w:rFonts w:asciiTheme="majorHAnsi" w:hAnsiTheme="majorHAnsi" w:cstheme="majorHAnsi"/>
          <w:lang w:val="en-US"/>
        </w:rPr>
        <w:t xml:space="preserve">). </w:t>
      </w:r>
      <w:r w:rsidR="00F43814">
        <w:rPr>
          <w:rFonts w:asciiTheme="majorHAnsi" w:hAnsiTheme="majorHAnsi" w:cstheme="majorHAnsi"/>
          <w:lang w:val="en-US"/>
        </w:rPr>
        <w:t>Considering the risks and benefits of relying on traditional food sources is not an easy process as it encompasses a variety of perspectives. While advisories are consistently issued</w:t>
      </w:r>
      <w:r w:rsidR="00FC3335">
        <w:rPr>
          <w:rFonts w:asciiTheme="majorHAnsi" w:hAnsiTheme="majorHAnsi" w:cstheme="majorHAnsi"/>
          <w:lang w:val="en-US"/>
        </w:rPr>
        <w:t xml:space="preserve"> </w:t>
      </w:r>
      <w:r w:rsidR="00F43814">
        <w:rPr>
          <w:rFonts w:asciiTheme="majorHAnsi" w:hAnsiTheme="majorHAnsi" w:cstheme="majorHAnsi"/>
          <w:lang w:val="en-US"/>
        </w:rPr>
        <w:t xml:space="preserve">without proper circulation and garnered community respect, consumption </w:t>
      </w:r>
      <w:r w:rsidR="002A2623">
        <w:rPr>
          <w:rFonts w:asciiTheme="majorHAnsi" w:hAnsiTheme="majorHAnsi" w:cstheme="majorHAnsi"/>
          <w:lang w:val="en-US"/>
        </w:rPr>
        <w:t xml:space="preserve">of country foods </w:t>
      </w:r>
      <w:r w:rsidR="00F43814">
        <w:rPr>
          <w:rFonts w:asciiTheme="majorHAnsi" w:hAnsiTheme="majorHAnsi" w:cstheme="majorHAnsi"/>
          <w:lang w:val="en-US"/>
        </w:rPr>
        <w:t>persists (Kuhnlein &amp; Chan, 2000).</w:t>
      </w:r>
      <w:r w:rsidR="002A2623" w:rsidRPr="002A2623">
        <w:rPr>
          <w:rFonts w:asciiTheme="majorHAnsi" w:hAnsiTheme="majorHAnsi" w:cstheme="majorHAnsi"/>
          <w:lang w:val="en-US"/>
        </w:rPr>
        <w:t xml:space="preserve"> </w:t>
      </w:r>
      <w:r w:rsidR="002A2623">
        <w:rPr>
          <w:rFonts w:asciiTheme="majorHAnsi" w:hAnsiTheme="majorHAnsi" w:cstheme="majorHAnsi"/>
          <w:lang w:val="en-US"/>
        </w:rPr>
        <w:t>This issue is particularly distressing for many Inuit because they had no significant contribution to improper chemical disposal in the Arctic</w:t>
      </w:r>
      <w:r w:rsidR="00D13791">
        <w:rPr>
          <w:rFonts w:asciiTheme="majorHAnsi" w:hAnsiTheme="majorHAnsi" w:cstheme="majorHAnsi"/>
          <w:lang w:val="en-US"/>
        </w:rPr>
        <w:t xml:space="preserve"> and</w:t>
      </w:r>
      <w:r w:rsidR="002A2623">
        <w:rPr>
          <w:rFonts w:asciiTheme="majorHAnsi" w:hAnsiTheme="majorHAnsi" w:cstheme="majorHAnsi"/>
          <w:lang w:val="en-US"/>
        </w:rPr>
        <w:t xml:space="preserve"> discussions regarding contamination in breast milk and country foods brings anxiety to many communities due to the cultural importance of both practices</w:t>
      </w:r>
      <w:r w:rsidR="00D13791">
        <w:rPr>
          <w:rFonts w:asciiTheme="majorHAnsi" w:hAnsiTheme="majorHAnsi" w:cstheme="majorHAnsi"/>
          <w:lang w:val="en-US"/>
        </w:rPr>
        <w:t>.</w:t>
      </w:r>
      <w:r w:rsidR="002A2623">
        <w:rPr>
          <w:rFonts w:asciiTheme="majorHAnsi" w:hAnsiTheme="majorHAnsi" w:cstheme="majorHAnsi"/>
          <w:lang w:val="en-US"/>
        </w:rPr>
        <w:t xml:space="preserve"> Some researchers argue that the known hazards of contaminants are less than the potential biological and social impacts of shifting diets to available market foods (Kinloch, Kuhnlein &amp; Muir, 1992). </w:t>
      </w:r>
      <w:r w:rsidR="00F43814">
        <w:rPr>
          <w:rFonts w:asciiTheme="majorHAnsi" w:hAnsiTheme="majorHAnsi" w:cstheme="majorHAnsi"/>
          <w:lang w:val="en-US"/>
        </w:rPr>
        <w:t>Appropriate international</w:t>
      </w:r>
      <w:r w:rsidR="00D13791">
        <w:rPr>
          <w:rFonts w:asciiTheme="majorHAnsi" w:hAnsiTheme="majorHAnsi" w:cstheme="majorHAnsi"/>
          <w:lang w:val="en-US"/>
        </w:rPr>
        <w:t>,</w:t>
      </w:r>
      <w:r w:rsidR="00F43814">
        <w:rPr>
          <w:rFonts w:asciiTheme="majorHAnsi" w:hAnsiTheme="majorHAnsi" w:cstheme="majorHAnsi"/>
          <w:lang w:val="en-US"/>
        </w:rPr>
        <w:t xml:space="preserve"> political</w:t>
      </w:r>
      <w:r w:rsidR="00D13791">
        <w:rPr>
          <w:rFonts w:asciiTheme="majorHAnsi" w:hAnsiTheme="majorHAnsi" w:cstheme="majorHAnsi"/>
          <w:lang w:val="en-US"/>
        </w:rPr>
        <w:t>,</w:t>
      </w:r>
      <w:r w:rsidR="00F43814">
        <w:rPr>
          <w:rFonts w:asciiTheme="majorHAnsi" w:hAnsiTheme="majorHAnsi" w:cstheme="majorHAnsi"/>
          <w:lang w:val="en-US"/>
        </w:rPr>
        <w:t xml:space="preserve"> and economic responses are required to lessen the impacts of industrial pollution on Inuit well-being while simultaneously advancing environmental conservation</w:t>
      </w:r>
      <w:r w:rsidR="00D13791">
        <w:rPr>
          <w:rFonts w:asciiTheme="majorHAnsi" w:hAnsiTheme="majorHAnsi" w:cstheme="majorHAnsi"/>
          <w:lang w:val="en-US"/>
        </w:rPr>
        <w:t xml:space="preserve"> </w:t>
      </w:r>
      <w:r w:rsidR="00F43814">
        <w:rPr>
          <w:rFonts w:asciiTheme="majorHAnsi" w:hAnsiTheme="majorHAnsi" w:cstheme="majorHAnsi"/>
          <w:lang w:val="en-US"/>
        </w:rPr>
        <w:t>(Kuhnlein &amp; Chan, 2000).</w:t>
      </w:r>
    </w:p>
    <w:p w14:paraId="33419058" w14:textId="3A07C9EA" w:rsidR="003111DB" w:rsidRDefault="003111DB" w:rsidP="00986AD3">
      <w:pPr>
        <w:adjustRightInd w:val="0"/>
        <w:snapToGrid w:val="0"/>
        <w:spacing w:before="120" w:after="120"/>
        <w:contextualSpacing/>
        <w:rPr>
          <w:rFonts w:asciiTheme="majorHAnsi" w:eastAsia="Calibri" w:hAnsiTheme="majorHAnsi" w:cstheme="majorHAnsi"/>
          <w:bCs/>
          <w:u w:val="single"/>
        </w:rPr>
      </w:pPr>
    </w:p>
    <w:p w14:paraId="026F17EA" w14:textId="292D1EDE" w:rsidR="00426F82" w:rsidRPr="00B5626F" w:rsidRDefault="005570F6" w:rsidP="00FC3335">
      <w:pPr>
        <w:adjustRightInd w:val="0"/>
        <w:snapToGrid w:val="0"/>
        <w:spacing w:before="120" w:after="120"/>
        <w:contextualSpacing/>
        <w:rPr>
          <w:rFonts w:asciiTheme="majorHAnsi" w:eastAsia="Calibri" w:hAnsiTheme="majorHAnsi" w:cstheme="majorHAnsi"/>
          <w:bCs/>
        </w:rPr>
      </w:pPr>
      <w:r w:rsidRPr="00223C75">
        <w:rPr>
          <w:rFonts w:asciiTheme="majorHAnsi" w:eastAsia="Calibri" w:hAnsiTheme="majorHAnsi" w:cstheme="majorHAnsi"/>
          <w:bCs/>
        </w:rPr>
        <w:t>A</w:t>
      </w:r>
      <w:r>
        <w:rPr>
          <w:rFonts w:asciiTheme="majorHAnsi" w:eastAsia="Calibri" w:hAnsiTheme="majorHAnsi" w:cstheme="majorHAnsi"/>
          <w:bCs/>
        </w:rPr>
        <w:t>ccessibility of</w:t>
      </w:r>
      <w:r w:rsidR="002A2623" w:rsidRPr="00223C75">
        <w:rPr>
          <w:rFonts w:asciiTheme="majorHAnsi" w:eastAsia="Calibri" w:hAnsiTheme="majorHAnsi" w:cstheme="majorHAnsi"/>
          <w:bCs/>
        </w:rPr>
        <w:t xml:space="preserve"> market foods in </w:t>
      </w:r>
      <w:r w:rsidR="008718C4">
        <w:rPr>
          <w:rFonts w:asciiTheme="majorHAnsi" w:eastAsia="Calibri" w:hAnsiTheme="majorHAnsi" w:cstheme="majorHAnsi"/>
          <w:bCs/>
        </w:rPr>
        <w:t>North</w:t>
      </w:r>
      <w:r w:rsidR="002A2623" w:rsidRPr="00223C75">
        <w:rPr>
          <w:rFonts w:asciiTheme="majorHAnsi" w:eastAsia="Calibri" w:hAnsiTheme="majorHAnsi" w:cstheme="majorHAnsi"/>
          <w:bCs/>
        </w:rPr>
        <w:t>ern Canada heavily</w:t>
      </w:r>
      <w:r w:rsidR="00223C75" w:rsidRPr="00223C75">
        <w:rPr>
          <w:rFonts w:asciiTheme="majorHAnsi" w:eastAsia="Calibri" w:hAnsiTheme="majorHAnsi" w:cstheme="majorHAnsi"/>
          <w:bCs/>
        </w:rPr>
        <w:t xml:space="preserve"> depends</w:t>
      </w:r>
      <w:r w:rsidR="002A2623" w:rsidRPr="00223C75">
        <w:rPr>
          <w:rFonts w:asciiTheme="majorHAnsi" w:eastAsia="Calibri" w:hAnsiTheme="majorHAnsi" w:cstheme="majorHAnsi"/>
          <w:bCs/>
        </w:rPr>
        <w:t xml:space="preserve"> on government programming that provides subsidies </w:t>
      </w:r>
      <w:r w:rsidR="00223C75" w:rsidRPr="00223C75">
        <w:rPr>
          <w:rFonts w:asciiTheme="majorHAnsi" w:eastAsia="Calibri" w:hAnsiTheme="majorHAnsi" w:cstheme="majorHAnsi"/>
          <w:bCs/>
        </w:rPr>
        <w:t>for</w:t>
      </w:r>
      <w:r w:rsidR="002A2623" w:rsidRPr="00223C75">
        <w:rPr>
          <w:rFonts w:asciiTheme="majorHAnsi" w:eastAsia="Calibri" w:hAnsiTheme="majorHAnsi" w:cstheme="majorHAnsi"/>
          <w:bCs/>
        </w:rPr>
        <w:t xml:space="preserve"> high </w:t>
      </w:r>
      <w:r w:rsidR="00223C75">
        <w:rPr>
          <w:rFonts w:asciiTheme="majorHAnsi" w:eastAsia="Calibri" w:hAnsiTheme="majorHAnsi" w:cstheme="majorHAnsi"/>
          <w:bCs/>
        </w:rPr>
        <w:t xml:space="preserve">costs associated with the </w:t>
      </w:r>
      <w:r w:rsidR="002A2623" w:rsidRPr="00223C75">
        <w:rPr>
          <w:rFonts w:asciiTheme="majorHAnsi" w:eastAsia="Calibri" w:hAnsiTheme="majorHAnsi" w:cstheme="majorHAnsi"/>
          <w:bCs/>
        </w:rPr>
        <w:t xml:space="preserve">transportation and storage </w:t>
      </w:r>
      <w:r w:rsidR="00223C75">
        <w:rPr>
          <w:rFonts w:asciiTheme="majorHAnsi" w:eastAsia="Calibri" w:hAnsiTheme="majorHAnsi" w:cstheme="majorHAnsi"/>
          <w:bCs/>
        </w:rPr>
        <w:t>of fresh food</w:t>
      </w:r>
      <w:r>
        <w:rPr>
          <w:rFonts w:asciiTheme="majorHAnsi" w:eastAsia="Calibri" w:hAnsiTheme="majorHAnsi" w:cstheme="majorHAnsi"/>
          <w:bCs/>
        </w:rPr>
        <w:t>s</w:t>
      </w:r>
      <w:r w:rsidR="00223C75" w:rsidRPr="00223C75">
        <w:rPr>
          <w:rFonts w:asciiTheme="majorHAnsi" w:eastAsia="Calibri" w:hAnsiTheme="majorHAnsi" w:cstheme="majorHAnsi"/>
          <w:bCs/>
        </w:rPr>
        <w:t>.</w:t>
      </w:r>
      <w:r w:rsidR="00223C75">
        <w:rPr>
          <w:rFonts w:asciiTheme="majorHAnsi" w:eastAsia="Calibri" w:hAnsiTheme="majorHAnsi" w:cstheme="majorHAnsi"/>
          <w:bCs/>
        </w:rPr>
        <w:t xml:space="preserve"> </w:t>
      </w:r>
      <w:r w:rsidR="00902BC7">
        <w:rPr>
          <w:rFonts w:asciiTheme="majorHAnsi" w:eastAsia="Calibri" w:hAnsiTheme="majorHAnsi" w:cstheme="majorHAnsi"/>
          <w:bCs/>
        </w:rPr>
        <w:t>The food mail program</w:t>
      </w:r>
      <w:r w:rsidR="00D13791">
        <w:rPr>
          <w:rFonts w:asciiTheme="majorHAnsi" w:eastAsia="Calibri" w:hAnsiTheme="majorHAnsi" w:cstheme="majorHAnsi"/>
          <w:bCs/>
        </w:rPr>
        <w:t xml:space="preserve">, </w:t>
      </w:r>
      <w:r w:rsidR="00902BC7">
        <w:rPr>
          <w:rFonts w:asciiTheme="majorHAnsi" w:eastAsia="Calibri" w:hAnsiTheme="majorHAnsi" w:cstheme="majorHAnsi"/>
          <w:bCs/>
        </w:rPr>
        <w:t>first implemented in 200</w:t>
      </w:r>
      <w:r w:rsidR="00223C75">
        <w:rPr>
          <w:rFonts w:asciiTheme="majorHAnsi" w:eastAsia="Calibri" w:hAnsiTheme="majorHAnsi" w:cstheme="majorHAnsi"/>
          <w:bCs/>
        </w:rPr>
        <w:t>1,</w:t>
      </w:r>
      <w:r w:rsidR="00902BC7">
        <w:rPr>
          <w:rFonts w:asciiTheme="majorHAnsi" w:eastAsia="Calibri" w:hAnsiTheme="majorHAnsi" w:cstheme="majorHAnsi"/>
          <w:bCs/>
        </w:rPr>
        <w:t xml:space="preserve"> </w:t>
      </w:r>
      <w:r w:rsidR="00D13791">
        <w:rPr>
          <w:rFonts w:asciiTheme="majorHAnsi" w:eastAsia="Calibri" w:hAnsiTheme="majorHAnsi" w:cstheme="majorHAnsi"/>
          <w:bCs/>
        </w:rPr>
        <w:t>had</w:t>
      </w:r>
      <w:r w:rsidR="00902BC7">
        <w:rPr>
          <w:rFonts w:asciiTheme="majorHAnsi" w:eastAsia="Calibri" w:hAnsiTheme="majorHAnsi" w:cstheme="majorHAnsi"/>
          <w:bCs/>
        </w:rPr>
        <w:t xml:space="preserve"> the goal of increasing food security in Canada’s </w:t>
      </w:r>
      <w:r w:rsidR="008718C4">
        <w:rPr>
          <w:rFonts w:asciiTheme="majorHAnsi" w:eastAsia="Calibri" w:hAnsiTheme="majorHAnsi" w:cstheme="majorHAnsi"/>
          <w:bCs/>
        </w:rPr>
        <w:t>North</w:t>
      </w:r>
      <w:r w:rsidR="00902BC7">
        <w:rPr>
          <w:rFonts w:asciiTheme="majorHAnsi" w:eastAsia="Calibri" w:hAnsiTheme="majorHAnsi" w:cstheme="majorHAnsi"/>
          <w:bCs/>
        </w:rPr>
        <w:t xml:space="preserve"> by subsidizing</w:t>
      </w:r>
      <w:r w:rsidR="00223C75">
        <w:rPr>
          <w:rFonts w:asciiTheme="majorHAnsi" w:eastAsia="Calibri" w:hAnsiTheme="majorHAnsi" w:cstheme="majorHAnsi"/>
          <w:bCs/>
        </w:rPr>
        <w:t xml:space="preserve"> postage costs and thereby, decreasing cost of healthy food options (</w:t>
      </w:r>
      <w:proofErr w:type="spellStart"/>
      <w:r w:rsidR="007833E8" w:rsidRPr="007833E8">
        <w:rPr>
          <w:rFonts w:asciiTheme="majorHAnsi" w:eastAsia="Times New Roman" w:hAnsiTheme="majorHAnsi" w:cstheme="majorHAnsi"/>
          <w:color w:val="000000"/>
        </w:rPr>
        <w:t>Bonesteel</w:t>
      </w:r>
      <w:proofErr w:type="spellEnd"/>
      <w:r w:rsidR="007833E8" w:rsidRPr="007833E8">
        <w:rPr>
          <w:rFonts w:asciiTheme="majorHAnsi" w:eastAsia="Times New Roman" w:hAnsiTheme="majorHAnsi" w:cstheme="majorHAnsi"/>
          <w:color w:val="000000"/>
        </w:rPr>
        <w:t>, 2006</w:t>
      </w:r>
      <w:r w:rsidR="00223C75">
        <w:rPr>
          <w:rFonts w:asciiTheme="majorHAnsi" w:eastAsia="Calibri" w:hAnsiTheme="majorHAnsi" w:cstheme="majorHAnsi"/>
          <w:bCs/>
        </w:rPr>
        <w:t xml:space="preserve">). </w:t>
      </w:r>
      <w:r w:rsidR="009D3265">
        <w:rPr>
          <w:rFonts w:asciiTheme="majorHAnsi" w:eastAsia="Calibri" w:hAnsiTheme="majorHAnsi" w:cstheme="majorHAnsi"/>
          <w:bCs/>
        </w:rPr>
        <w:t xml:space="preserve">The program yielded mixed reviews </w:t>
      </w:r>
      <w:r w:rsidR="00C36973">
        <w:rPr>
          <w:rFonts w:asciiTheme="majorHAnsi" w:eastAsia="Calibri" w:hAnsiTheme="majorHAnsi" w:cstheme="majorHAnsi"/>
          <w:bCs/>
        </w:rPr>
        <w:t xml:space="preserve">and many Inuit did not utilize the program because they were either unaware of its existence or they identified little to no cultural value in the foods that qualified for subsidization </w:t>
      </w:r>
      <w:r w:rsidR="00C36973" w:rsidRPr="0065591F">
        <w:rPr>
          <w:rFonts w:asciiTheme="majorHAnsi" w:eastAsia="Calibri" w:hAnsiTheme="majorHAnsi" w:cstheme="majorHAnsi"/>
          <w:bCs/>
        </w:rPr>
        <w:t>(Majid &amp; Grier, 2010)</w:t>
      </w:r>
      <w:r w:rsidR="00C36973">
        <w:rPr>
          <w:rFonts w:asciiTheme="majorHAnsi" w:eastAsia="Calibri" w:hAnsiTheme="majorHAnsi" w:cstheme="majorHAnsi"/>
          <w:bCs/>
        </w:rPr>
        <w:t>. Additionally, many Inuit that did utilize the program reported an inadequate quality of</w:t>
      </w:r>
      <w:r w:rsidR="00D13791">
        <w:rPr>
          <w:rFonts w:asciiTheme="majorHAnsi" w:eastAsia="Calibri" w:hAnsiTheme="majorHAnsi" w:cstheme="majorHAnsi"/>
          <w:bCs/>
        </w:rPr>
        <w:t xml:space="preserve"> </w:t>
      </w:r>
      <w:r w:rsidR="00C36973">
        <w:rPr>
          <w:rFonts w:asciiTheme="majorHAnsi" w:eastAsia="Calibri" w:hAnsiTheme="majorHAnsi" w:cstheme="majorHAnsi"/>
          <w:bCs/>
        </w:rPr>
        <w:t>fresh foods (</w:t>
      </w:r>
      <w:proofErr w:type="spellStart"/>
      <w:r w:rsidR="007833E8" w:rsidRPr="007833E8">
        <w:rPr>
          <w:rFonts w:asciiTheme="majorHAnsi" w:eastAsia="Times New Roman" w:hAnsiTheme="majorHAnsi" w:cstheme="majorHAnsi"/>
          <w:color w:val="000000"/>
        </w:rPr>
        <w:t>Bonesteel</w:t>
      </w:r>
      <w:proofErr w:type="spellEnd"/>
      <w:r w:rsidR="007833E8" w:rsidRPr="007833E8">
        <w:rPr>
          <w:rFonts w:asciiTheme="majorHAnsi" w:eastAsia="Times New Roman" w:hAnsiTheme="majorHAnsi" w:cstheme="majorHAnsi"/>
          <w:color w:val="000000"/>
        </w:rPr>
        <w:t>, 2006</w:t>
      </w:r>
      <w:r w:rsidR="00C36973">
        <w:rPr>
          <w:rFonts w:asciiTheme="majorHAnsi" w:eastAsia="Calibri" w:hAnsiTheme="majorHAnsi" w:cstheme="majorHAnsi"/>
          <w:bCs/>
        </w:rPr>
        <w:t xml:space="preserve">). A formal review of the program in 2008 yielded recommendations to replace the program with the current program, Nutrition </w:t>
      </w:r>
      <w:r w:rsidR="008718C4">
        <w:rPr>
          <w:rFonts w:asciiTheme="majorHAnsi" w:eastAsia="Calibri" w:hAnsiTheme="majorHAnsi" w:cstheme="majorHAnsi"/>
          <w:bCs/>
        </w:rPr>
        <w:t>North</w:t>
      </w:r>
      <w:r w:rsidR="00C36973">
        <w:rPr>
          <w:rFonts w:asciiTheme="majorHAnsi" w:eastAsia="Calibri" w:hAnsiTheme="majorHAnsi" w:cstheme="majorHAnsi"/>
          <w:bCs/>
        </w:rPr>
        <w:t xml:space="preserve"> Canada</w:t>
      </w:r>
      <w:r w:rsidR="00872E21">
        <w:rPr>
          <w:rFonts w:asciiTheme="majorHAnsi" w:eastAsia="Calibri" w:hAnsiTheme="majorHAnsi" w:cstheme="majorHAnsi"/>
          <w:bCs/>
        </w:rPr>
        <w:t xml:space="preserve"> (NNC)</w:t>
      </w:r>
      <w:r w:rsidR="00C36973">
        <w:rPr>
          <w:rFonts w:asciiTheme="majorHAnsi" w:eastAsia="Calibri" w:hAnsiTheme="majorHAnsi" w:cstheme="majorHAnsi"/>
          <w:bCs/>
        </w:rPr>
        <w:t>. Specific recommendations from this review included revisions of both community and item eligibility, incorporation of country food options and establishment of clear objectives and performance indicators (</w:t>
      </w:r>
      <w:proofErr w:type="spellStart"/>
      <w:r w:rsidR="00C36973">
        <w:rPr>
          <w:rFonts w:asciiTheme="majorHAnsi" w:eastAsia="Calibri" w:hAnsiTheme="majorHAnsi" w:cstheme="majorHAnsi"/>
          <w:bCs/>
        </w:rPr>
        <w:t>Dargo</w:t>
      </w:r>
      <w:proofErr w:type="spellEnd"/>
      <w:r w:rsidR="00C36973">
        <w:rPr>
          <w:rFonts w:asciiTheme="majorHAnsi" w:eastAsia="Calibri" w:hAnsiTheme="majorHAnsi" w:cstheme="majorHAnsi"/>
          <w:bCs/>
        </w:rPr>
        <w:t>, 2008). While stakeholders agreed that</w:t>
      </w:r>
      <w:r w:rsidR="00872E21">
        <w:rPr>
          <w:rFonts w:asciiTheme="majorHAnsi" w:eastAsia="Calibri" w:hAnsiTheme="majorHAnsi" w:cstheme="majorHAnsi"/>
          <w:bCs/>
        </w:rPr>
        <w:t xml:space="preserve"> the program was valuable to </w:t>
      </w:r>
      <w:r w:rsidR="008718C4">
        <w:rPr>
          <w:rFonts w:asciiTheme="majorHAnsi" w:eastAsia="Calibri" w:hAnsiTheme="majorHAnsi" w:cstheme="majorHAnsi"/>
          <w:bCs/>
        </w:rPr>
        <w:t>North</w:t>
      </w:r>
      <w:r w:rsidR="00872E21">
        <w:rPr>
          <w:rFonts w:asciiTheme="majorHAnsi" w:eastAsia="Calibri" w:hAnsiTheme="majorHAnsi" w:cstheme="majorHAnsi"/>
          <w:bCs/>
        </w:rPr>
        <w:t>ern communities at this time, they also identified that changes were required for the program to reach its full potential; for example, the lack of staple Inuit food items was a major criticism (</w:t>
      </w:r>
      <w:r w:rsidR="00872E21" w:rsidRPr="0065591F">
        <w:rPr>
          <w:rFonts w:asciiTheme="majorHAnsi" w:eastAsia="Calibri" w:hAnsiTheme="majorHAnsi" w:cstheme="majorHAnsi"/>
          <w:bCs/>
        </w:rPr>
        <w:t>Majid &amp; Grier, 2010)</w:t>
      </w:r>
      <w:r w:rsidR="00872E21">
        <w:rPr>
          <w:rFonts w:asciiTheme="majorHAnsi" w:eastAsia="Calibri" w:hAnsiTheme="majorHAnsi" w:cstheme="majorHAnsi"/>
          <w:bCs/>
        </w:rPr>
        <w:t xml:space="preserve">. The NNC </w:t>
      </w:r>
      <w:r w:rsidR="00872E21">
        <w:rPr>
          <w:rFonts w:asciiTheme="majorHAnsi" w:eastAsia="Calibri" w:hAnsiTheme="majorHAnsi" w:cstheme="majorHAnsi"/>
          <w:bCs/>
        </w:rPr>
        <w:lastRenderedPageBreak/>
        <w:t>program replaced the food mail program with an altered structure that provided subsidies directly to community retailers</w:t>
      </w:r>
      <w:r w:rsidR="00D13791">
        <w:rPr>
          <w:rFonts w:asciiTheme="majorHAnsi" w:eastAsia="Calibri" w:hAnsiTheme="majorHAnsi" w:cstheme="majorHAnsi"/>
          <w:bCs/>
        </w:rPr>
        <w:t xml:space="preserve">, </w:t>
      </w:r>
      <w:r w:rsidR="00872E21">
        <w:rPr>
          <w:rFonts w:asciiTheme="majorHAnsi" w:eastAsia="Calibri" w:hAnsiTheme="majorHAnsi" w:cstheme="majorHAnsi"/>
          <w:bCs/>
        </w:rPr>
        <w:t xml:space="preserve">with the intention of increasing accessibility of perishable and nutritious foods. Unfortunately, </w:t>
      </w:r>
      <w:r w:rsidR="004355D8">
        <w:rPr>
          <w:rFonts w:asciiTheme="majorHAnsi" w:eastAsia="Calibri" w:hAnsiTheme="majorHAnsi" w:cstheme="majorHAnsi"/>
          <w:bCs/>
        </w:rPr>
        <w:t>a lack of retailer accountability and high variability in pricing and food availability is hindering the program from providing effective r</w:t>
      </w:r>
      <w:r w:rsidR="00B93EE4">
        <w:rPr>
          <w:rFonts w:asciiTheme="majorHAnsi" w:eastAsia="Calibri" w:hAnsiTheme="majorHAnsi" w:cstheme="majorHAnsi"/>
          <w:bCs/>
        </w:rPr>
        <w:t xml:space="preserve">etail subsidies </w:t>
      </w:r>
      <w:r w:rsidR="004355D8">
        <w:rPr>
          <w:rFonts w:asciiTheme="majorHAnsi" w:eastAsia="Calibri" w:hAnsiTheme="majorHAnsi" w:cstheme="majorHAnsi"/>
          <w:bCs/>
        </w:rPr>
        <w:t>that</w:t>
      </w:r>
      <w:r w:rsidR="00B93EE4">
        <w:rPr>
          <w:rFonts w:asciiTheme="majorHAnsi" w:eastAsia="Calibri" w:hAnsiTheme="majorHAnsi" w:cstheme="majorHAnsi"/>
          <w:bCs/>
        </w:rPr>
        <w:t xml:space="preserve"> ensur</w:t>
      </w:r>
      <w:r w:rsidR="004355D8">
        <w:rPr>
          <w:rFonts w:asciiTheme="majorHAnsi" w:eastAsia="Calibri" w:hAnsiTheme="majorHAnsi" w:cstheme="majorHAnsi"/>
          <w:bCs/>
        </w:rPr>
        <w:t xml:space="preserve">e </w:t>
      </w:r>
      <w:r w:rsidR="00B93EE4">
        <w:rPr>
          <w:rFonts w:asciiTheme="majorHAnsi" w:eastAsia="Calibri" w:hAnsiTheme="majorHAnsi" w:cstheme="majorHAnsi"/>
          <w:bCs/>
        </w:rPr>
        <w:t>equitable pricing across communitie</w:t>
      </w:r>
      <w:r w:rsidR="004355D8">
        <w:rPr>
          <w:rFonts w:asciiTheme="majorHAnsi" w:eastAsia="Calibri" w:hAnsiTheme="majorHAnsi" w:cstheme="majorHAnsi"/>
          <w:bCs/>
        </w:rPr>
        <w:t>s</w:t>
      </w:r>
      <w:r w:rsidR="0003108C">
        <w:rPr>
          <w:rFonts w:asciiTheme="majorHAnsi" w:eastAsia="Calibri" w:hAnsiTheme="majorHAnsi" w:cstheme="majorHAnsi"/>
          <w:bCs/>
        </w:rPr>
        <w:t xml:space="preserve">. </w:t>
      </w:r>
      <w:r w:rsidR="00B93EE4">
        <w:rPr>
          <w:rFonts w:asciiTheme="majorHAnsi" w:eastAsia="Calibri" w:hAnsiTheme="majorHAnsi" w:cstheme="majorHAnsi"/>
          <w:bCs/>
        </w:rPr>
        <w:t>Food prices remain substantially higher than in other regions of the country</w:t>
      </w:r>
      <w:r w:rsidR="0003108C">
        <w:rPr>
          <w:rFonts w:asciiTheme="majorHAnsi" w:eastAsia="Calibri" w:hAnsiTheme="majorHAnsi" w:cstheme="majorHAnsi"/>
          <w:bCs/>
        </w:rPr>
        <w:t xml:space="preserve">; </w:t>
      </w:r>
      <w:r w:rsidR="00B93EE4">
        <w:rPr>
          <w:rFonts w:asciiTheme="majorHAnsi" w:eastAsia="Calibri" w:hAnsiTheme="majorHAnsi" w:cstheme="majorHAnsi"/>
          <w:bCs/>
        </w:rPr>
        <w:t xml:space="preserve">cost estimates are unavailable for costumers, resulting in high consumer vulnerability </w:t>
      </w:r>
      <w:r w:rsidR="0003108C">
        <w:rPr>
          <w:rFonts w:asciiTheme="majorHAnsi" w:eastAsia="Calibri" w:hAnsiTheme="majorHAnsi" w:cstheme="majorHAnsi"/>
          <w:bCs/>
        </w:rPr>
        <w:t xml:space="preserve">regarding retail price variation, particularly in communities with one retailer (Galloway, 2017). The current reporting system makes it impossible to gauge how retailer subsidies are being utilized to benefit </w:t>
      </w:r>
      <w:r w:rsidR="008718C4">
        <w:rPr>
          <w:rFonts w:asciiTheme="majorHAnsi" w:eastAsia="Calibri" w:hAnsiTheme="majorHAnsi" w:cstheme="majorHAnsi"/>
          <w:bCs/>
        </w:rPr>
        <w:t>North</w:t>
      </w:r>
      <w:r w:rsidR="0003108C">
        <w:rPr>
          <w:rFonts w:asciiTheme="majorHAnsi" w:eastAsia="Calibri" w:hAnsiTheme="majorHAnsi" w:cstheme="majorHAnsi"/>
          <w:bCs/>
        </w:rPr>
        <w:t xml:space="preserve">ern consumers and </w:t>
      </w:r>
      <w:r w:rsidR="0084550F">
        <w:rPr>
          <w:rFonts w:asciiTheme="majorHAnsi" w:eastAsia="Calibri" w:hAnsiTheme="majorHAnsi" w:cstheme="majorHAnsi"/>
          <w:bCs/>
        </w:rPr>
        <w:t xml:space="preserve">if program resources are being equally distributed across and within </w:t>
      </w:r>
      <w:r w:rsidR="008718C4">
        <w:rPr>
          <w:rFonts w:asciiTheme="majorHAnsi" w:eastAsia="Calibri" w:hAnsiTheme="majorHAnsi" w:cstheme="majorHAnsi"/>
          <w:bCs/>
        </w:rPr>
        <w:t>North</w:t>
      </w:r>
      <w:r w:rsidR="0084550F">
        <w:rPr>
          <w:rFonts w:asciiTheme="majorHAnsi" w:eastAsia="Calibri" w:hAnsiTheme="majorHAnsi" w:cstheme="majorHAnsi"/>
          <w:bCs/>
        </w:rPr>
        <w:t xml:space="preserve">ern communities. The provision of more detailed information concerning operations, freight prices and subsidy calculations would </w:t>
      </w:r>
      <w:r w:rsidR="00212A33">
        <w:rPr>
          <w:rFonts w:asciiTheme="majorHAnsi" w:eastAsia="Calibri" w:hAnsiTheme="majorHAnsi" w:cstheme="majorHAnsi"/>
          <w:bCs/>
        </w:rPr>
        <w:t>enable a proper evaluation of program objectives (Galloway, 2014).</w:t>
      </w:r>
      <w:r w:rsidR="0084550F">
        <w:rPr>
          <w:rFonts w:asciiTheme="majorHAnsi" w:eastAsia="Calibri" w:hAnsiTheme="majorHAnsi" w:cstheme="majorHAnsi"/>
          <w:bCs/>
        </w:rPr>
        <w:t xml:space="preserve"> </w:t>
      </w:r>
      <w:r w:rsidR="00212A33">
        <w:rPr>
          <w:rFonts w:asciiTheme="majorHAnsi" w:eastAsia="Calibri" w:hAnsiTheme="majorHAnsi" w:cstheme="majorHAnsi"/>
          <w:bCs/>
        </w:rPr>
        <w:t xml:space="preserve">While NNC emphasizes challenges experienced by </w:t>
      </w:r>
      <w:r w:rsidR="008718C4">
        <w:rPr>
          <w:rFonts w:asciiTheme="majorHAnsi" w:eastAsia="Calibri" w:hAnsiTheme="majorHAnsi" w:cstheme="majorHAnsi"/>
          <w:bCs/>
        </w:rPr>
        <w:t>North</w:t>
      </w:r>
      <w:r w:rsidR="00212A33">
        <w:rPr>
          <w:rFonts w:asciiTheme="majorHAnsi" w:eastAsia="Calibri" w:hAnsiTheme="majorHAnsi" w:cstheme="majorHAnsi"/>
          <w:bCs/>
        </w:rPr>
        <w:t>ern communities that struggle to find healthy and affordable foods, it does not represent the magnitude of the circumstance</w:t>
      </w:r>
      <w:r w:rsidR="00FC3335">
        <w:rPr>
          <w:rFonts w:asciiTheme="majorHAnsi" w:eastAsia="Calibri" w:hAnsiTheme="majorHAnsi" w:cstheme="majorHAnsi"/>
          <w:bCs/>
        </w:rPr>
        <w:t xml:space="preserve">. </w:t>
      </w:r>
      <w:r w:rsidR="00170FA3">
        <w:rPr>
          <w:rFonts w:asciiTheme="majorHAnsi" w:eastAsia="Calibri" w:hAnsiTheme="majorHAnsi" w:cstheme="majorHAnsi"/>
          <w:bCs/>
        </w:rPr>
        <w:t>Indigenous f</w:t>
      </w:r>
      <w:r w:rsidR="00212A33">
        <w:rPr>
          <w:rFonts w:asciiTheme="majorHAnsi" w:eastAsia="Calibri" w:hAnsiTheme="majorHAnsi" w:cstheme="majorHAnsi"/>
          <w:bCs/>
        </w:rPr>
        <w:t>ood insecurity is a consequence of Canada’s colonial history</w:t>
      </w:r>
      <w:r w:rsidR="00FC3335">
        <w:rPr>
          <w:rFonts w:asciiTheme="majorHAnsi" w:eastAsia="Calibri" w:hAnsiTheme="majorHAnsi" w:cstheme="majorHAnsi"/>
          <w:bCs/>
        </w:rPr>
        <w:t>,</w:t>
      </w:r>
      <w:r w:rsidR="00212A33">
        <w:rPr>
          <w:rFonts w:asciiTheme="majorHAnsi" w:eastAsia="Calibri" w:hAnsiTheme="majorHAnsi" w:cstheme="majorHAnsi"/>
          <w:bCs/>
        </w:rPr>
        <w:t xml:space="preserve"> and while food subsidy programs may alleviate some of the difficulties experienced in </w:t>
      </w:r>
      <w:r w:rsidR="008718C4">
        <w:rPr>
          <w:rFonts w:asciiTheme="majorHAnsi" w:eastAsia="Calibri" w:hAnsiTheme="majorHAnsi" w:cstheme="majorHAnsi"/>
          <w:bCs/>
        </w:rPr>
        <w:t>North</w:t>
      </w:r>
      <w:r w:rsidR="00212A33">
        <w:rPr>
          <w:rFonts w:asciiTheme="majorHAnsi" w:eastAsia="Calibri" w:hAnsiTheme="majorHAnsi" w:cstheme="majorHAnsi"/>
          <w:bCs/>
        </w:rPr>
        <w:t xml:space="preserve">ern Canada they will never solve the </w:t>
      </w:r>
      <w:r w:rsidR="00D13791">
        <w:rPr>
          <w:rFonts w:asciiTheme="majorHAnsi" w:eastAsia="Calibri" w:hAnsiTheme="majorHAnsi" w:cstheme="majorHAnsi"/>
          <w:bCs/>
        </w:rPr>
        <w:t>underlying</w:t>
      </w:r>
      <w:r w:rsidR="00212A33">
        <w:rPr>
          <w:rFonts w:asciiTheme="majorHAnsi" w:eastAsia="Calibri" w:hAnsiTheme="majorHAnsi" w:cstheme="majorHAnsi"/>
          <w:bCs/>
        </w:rPr>
        <w:t xml:space="preserve"> problem</w:t>
      </w:r>
      <w:r w:rsidR="00D13791">
        <w:rPr>
          <w:rFonts w:asciiTheme="majorHAnsi" w:eastAsia="Calibri" w:hAnsiTheme="majorHAnsi" w:cstheme="majorHAnsi"/>
          <w:bCs/>
        </w:rPr>
        <w:t>s</w:t>
      </w:r>
      <w:r w:rsidR="00212A33">
        <w:rPr>
          <w:rFonts w:asciiTheme="majorHAnsi" w:eastAsia="Calibri" w:hAnsiTheme="majorHAnsi" w:cstheme="majorHAnsi"/>
          <w:bCs/>
        </w:rPr>
        <w:t xml:space="preserve"> (Burnett, Skinner, &amp; LeBlanc, 2015)</w:t>
      </w:r>
      <w:r w:rsidR="00170FA3">
        <w:rPr>
          <w:rFonts w:asciiTheme="majorHAnsi" w:eastAsia="Calibri" w:hAnsiTheme="majorHAnsi" w:cstheme="majorHAnsi"/>
          <w:bCs/>
        </w:rPr>
        <w:t xml:space="preserve">. </w:t>
      </w:r>
      <w:r w:rsidR="008718C4">
        <w:rPr>
          <w:rFonts w:asciiTheme="majorHAnsi" w:eastAsia="Calibri" w:hAnsiTheme="majorHAnsi" w:cstheme="majorHAnsi"/>
          <w:bCs/>
        </w:rPr>
        <w:t>North</w:t>
      </w:r>
      <w:r w:rsidR="00170FA3">
        <w:rPr>
          <w:rFonts w:asciiTheme="majorHAnsi" w:eastAsia="Calibri" w:hAnsiTheme="majorHAnsi" w:cstheme="majorHAnsi"/>
          <w:bCs/>
        </w:rPr>
        <w:t xml:space="preserve">ern communities not only have severe rates of food insecurity, but at the forefront of climate change, they are impacted by reduced availability of country foods they have traditionally relied on. The program structure of NNC currently </w:t>
      </w:r>
      <w:r w:rsidR="00601B86">
        <w:rPr>
          <w:rFonts w:asciiTheme="majorHAnsi" w:eastAsia="Calibri" w:hAnsiTheme="majorHAnsi" w:cstheme="majorHAnsi"/>
          <w:bCs/>
        </w:rPr>
        <w:t>presumes</w:t>
      </w:r>
      <w:r w:rsidR="00170FA3">
        <w:rPr>
          <w:rFonts w:asciiTheme="majorHAnsi" w:eastAsia="Calibri" w:hAnsiTheme="majorHAnsi" w:cstheme="majorHAnsi"/>
          <w:bCs/>
        </w:rPr>
        <w:t xml:space="preserve"> a competitive marketplace which </w:t>
      </w:r>
      <w:r w:rsidR="00601B86">
        <w:rPr>
          <w:rFonts w:asciiTheme="majorHAnsi" w:eastAsia="Calibri" w:hAnsiTheme="majorHAnsi" w:cstheme="majorHAnsi"/>
          <w:bCs/>
        </w:rPr>
        <w:t>is not true</w:t>
      </w:r>
      <w:r w:rsidR="00A212D0">
        <w:rPr>
          <w:rFonts w:asciiTheme="majorHAnsi" w:eastAsia="Calibri" w:hAnsiTheme="majorHAnsi" w:cstheme="majorHAnsi"/>
          <w:bCs/>
        </w:rPr>
        <w:t xml:space="preserve"> for most of the</w:t>
      </w:r>
      <w:r w:rsidR="00170FA3">
        <w:rPr>
          <w:rFonts w:asciiTheme="majorHAnsi" w:eastAsia="Calibri" w:hAnsiTheme="majorHAnsi" w:cstheme="majorHAnsi"/>
          <w:bCs/>
        </w:rPr>
        <w:t xml:space="preserve"> eligible communities</w:t>
      </w:r>
      <w:r w:rsidR="004355D8">
        <w:rPr>
          <w:rFonts w:asciiTheme="majorHAnsi" w:eastAsia="Calibri" w:hAnsiTheme="majorHAnsi" w:cstheme="majorHAnsi"/>
          <w:bCs/>
        </w:rPr>
        <w:t xml:space="preserve">. </w:t>
      </w:r>
      <w:r w:rsidR="00A212D0">
        <w:rPr>
          <w:rFonts w:asciiTheme="majorHAnsi" w:eastAsia="Calibri" w:hAnsiTheme="majorHAnsi" w:cstheme="majorHAnsi"/>
          <w:bCs/>
        </w:rPr>
        <w:t xml:space="preserve">Both a more rigorous accountability system for retailers and a stronger, public food pricing framework would improve the current program by providing a more effective means of measuring consumer benefit (Galloway, 2017). </w:t>
      </w:r>
      <w:r w:rsidR="00872E21" w:rsidRPr="002B0447">
        <w:rPr>
          <w:rFonts w:asciiTheme="majorHAnsi" w:eastAsia="Calibri" w:hAnsiTheme="majorHAnsi" w:cstheme="majorHAnsi"/>
          <w:bCs/>
        </w:rPr>
        <w:br/>
      </w:r>
    </w:p>
    <w:p w14:paraId="1BC64E79" w14:textId="71BB885D" w:rsidR="00A20460" w:rsidRDefault="008E6FB5" w:rsidP="00FC3335">
      <w:pPr>
        <w:adjustRightInd w:val="0"/>
        <w:snapToGrid w:val="0"/>
        <w:spacing w:before="120" w:after="120"/>
        <w:contextualSpacing/>
        <w:rPr>
          <w:rFonts w:asciiTheme="majorHAnsi" w:eastAsia="Calibri" w:hAnsiTheme="majorHAnsi" w:cstheme="majorHAnsi"/>
          <w:bCs/>
          <w:i/>
        </w:rPr>
      </w:pPr>
      <w:r w:rsidRPr="00633991">
        <w:rPr>
          <w:rFonts w:asciiTheme="majorHAnsi" w:eastAsia="Calibri" w:hAnsiTheme="majorHAnsi" w:cstheme="majorHAnsi"/>
          <w:bCs/>
          <w:i/>
        </w:rPr>
        <w:t>Indigenous Food Sovereignty in Tuktoyaktuk</w:t>
      </w:r>
    </w:p>
    <w:p w14:paraId="79B3F293" w14:textId="076DF967" w:rsidR="00B9580D" w:rsidRDefault="00B9580D" w:rsidP="00986AD3">
      <w:pPr>
        <w:adjustRightInd w:val="0"/>
        <w:snapToGrid w:val="0"/>
        <w:spacing w:before="120" w:after="120"/>
        <w:contextualSpacing/>
        <w:rPr>
          <w:rFonts w:asciiTheme="majorHAnsi" w:eastAsia="Calibri" w:hAnsiTheme="majorHAnsi" w:cstheme="majorHAnsi"/>
          <w:bCs/>
        </w:rPr>
      </w:pPr>
    </w:p>
    <w:p w14:paraId="001ED162" w14:textId="74AA16F9" w:rsidR="009D0AFC" w:rsidRPr="00D13791" w:rsidRDefault="00B9580D" w:rsidP="00D13791">
      <w:pPr>
        <w:adjustRightInd w:val="0"/>
        <w:snapToGrid w:val="0"/>
        <w:spacing w:before="120" w:after="120"/>
        <w:contextualSpacing/>
        <w:rPr>
          <w:rFonts w:asciiTheme="majorHAnsi" w:eastAsia="Calibri" w:hAnsiTheme="majorHAnsi" w:cstheme="majorHAnsi"/>
          <w:bCs/>
        </w:rPr>
      </w:pPr>
      <w:r>
        <w:rPr>
          <w:rFonts w:asciiTheme="majorHAnsi" w:eastAsia="Calibri" w:hAnsiTheme="majorHAnsi" w:cstheme="majorHAnsi"/>
          <w:bCs/>
        </w:rPr>
        <w:t xml:space="preserve">Tuktoyaktuk experiences similar low-income frequencies as the rest of </w:t>
      </w:r>
      <w:r w:rsidR="008718C4">
        <w:rPr>
          <w:rFonts w:asciiTheme="majorHAnsi" w:eastAsia="Calibri" w:hAnsiTheme="majorHAnsi" w:cstheme="majorHAnsi"/>
          <w:bCs/>
        </w:rPr>
        <w:t>North</w:t>
      </w:r>
      <w:r>
        <w:rPr>
          <w:rFonts w:asciiTheme="majorHAnsi" w:eastAsia="Calibri" w:hAnsiTheme="majorHAnsi" w:cstheme="majorHAnsi"/>
          <w:bCs/>
        </w:rPr>
        <w:t>ern Canada. The 2016 census found an almost 50% unemployment rate amongst individuals between the ages of 25 and 65 in the community. Reports of such high unemployment reflects an increased dependence on economic income, especially in communities that traditionally depended on a subsistence economy (</w:t>
      </w:r>
      <w:r w:rsidR="007833E8">
        <w:rPr>
          <w:rFonts w:asciiTheme="majorHAnsi" w:eastAsia="Calibri" w:hAnsiTheme="majorHAnsi" w:cstheme="majorHAnsi"/>
          <w:bCs/>
        </w:rPr>
        <w:t>Statistics Canada, 2017</w:t>
      </w:r>
      <w:r>
        <w:rPr>
          <w:rFonts w:asciiTheme="majorHAnsi" w:eastAsia="Calibri" w:hAnsiTheme="majorHAnsi" w:cstheme="majorHAnsi"/>
          <w:bCs/>
        </w:rPr>
        <w:t xml:space="preserve">). </w:t>
      </w:r>
      <w:r w:rsidR="00485E04">
        <w:rPr>
          <w:rFonts w:asciiTheme="majorHAnsi" w:hAnsiTheme="majorHAnsi" w:cstheme="majorHAnsi"/>
          <w:lang w:val="en-US"/>
        </w:rPr>
        <w:t xml:space="preserve">Limited employment opportunities exist within the community, including government, social and health services as well as retail, construction, tour guides, and natural gas exploration (Hamlet of Tuktoyaktuk, 1984). </w:t>
      </w:r>
      <w:r>
        <w:rPr>
          <w:rFonts w:asciiTheme="majorHAnsi" w:eastAsia="Calibri" w:hAnsiTheme="majorHAnsi" w:cstheme="majorHAnsi"/>
          <w:bCs/>
        </w:rPr>
        <w:t>Despite a recent rise in high school graduation rates, pursuit of post-secondary education remains low for youth in Tuktoyaktuk. Few job prospects upon return to the community after</w:t>
      </w:r>
      <w:r w:rsidR="00084C8C">
        <w:rPr>
          <w:rFonts w:asciiTheme="majorHAnsi" w:eastAsia="Calibri" w:hAnsiTheme="majorHAnsi" w:cstheme="majorHAnsi"/>
          <w:bCs/>
        </w:rPr>
        <w:t xml:space="preserve"> completion of a diploma or degree results in a “holding pattern” for community youth who are unable to generate income and are also often lacking traditional skills because they did not grow up on the land</w:t>
      </w:r>
      <w:r w:rsidR="00D13791">
        <w:rPr>
          <w:rFonts w:asciiTheme="majorHAnsi" w:eastAsia="Calibri" w:hAnsiTheme="majorHAnsi" w:cstheme="majorHAnsi"/>
          <w:bCs/>
        </w:rPr>
        <w:t>,</w:t>
      </w:r>
      <w:r w:rsidR="00084C8C">
        <w:rPr>
          <w:rFonts w:asciiTheme="majorHAnsi" w:eastAsia="Calibri" w:hAnsiTheme="majorHAnsi" w:cstheme="majorHAnsi"/>
          <w:bCs/>
        </w:rPr>
        <w:t xml:space="preserve"> as previous generations have. </w:t>
      </w:r>
      <w:r w:rsidR="00084C8C">
        <w:rPr>
          <w:rFonts w:asciiTheme="majorHAnsi" w:hAnsiTheme="majorHAnsi" w:cstheme="majorHAnsi"/>
          <w:lang w:val="en-US"/>
        </w:rPr>
        <w:t xml:space="preserve">The inability to cover basic household needs and essential items results in high stress for many families in the community </w:t>
      </w:r>
      <w:r w:rsidR="00084C8C">
        <w:rPr>
          <w:rFonts w:asciiTheme="majorHAnsi" w:eastAsia="Calibri" w:hAnsiTheme="majorHAnsi" w:cstheme="majorHAnsi"/>
          <w:bCs/>
        </w:rPr>
        <w:t>(</w:t>
      </w:r>
      <w:proofErr w:type="spellStart"/>
      <w:r w:rsidR="00084C8C" w:rsidRPr="00633991">
        <w:rPr>
          <w:rFonts w:asciiTheme="majorHAnsi" w:hAnsiTheme="majorHAnsi" w:cstheme="majorHAnsi"/>
          <w:lang w:val="en-US"/>
        </w:rPr>
        <w:t>Andrachuk</w:t>
      </w:r>
      <w:proofErr w:type="spellEnd"/>
      <w:r w:rsidR="00084C8C" w:rsidRPr="00633991">
        <w:rPr>
          <w:rFonts w:asciiTheme="majorHAnsi" w:hAnsiTheme="majorHAnsi" w:cstheme="majorHAnsi"/>
          <w:lang w:val="en-US"/>
        </w:rPr>
        <w:t xml:space="preserve"> &amp; Smit, 2012)</w:t>
      </w:r>
      <w:r w:rsidR="00084C8C">
        <w:rPr>
          <w:rFonts w:asciiTheme="majorHAnsi" w:hAnsiTheme="majorHAnsi" w:cstheme="majorHAnsi"/>
          <w:lang w:val="en-US"/>
        </w:rPr>
        <w:t>.</w:t>
      </w:r>
      <w:r w:rsidR="00485E04">
        <w:rPr>
          <w:rFonts w:asciiTheme="majorHAnsi" w:eastAsia="Calibri" w:hAnsiTheme="majorHAnsi" w:cstheme="majorHAnsi"/>
          <w:bCs/>
        </w:rPr>
        <w:t xml:space="preserve"> </w:t>
      </w:r>
      <w:r w:rsidR="00084C8C">
        <w:rPr>
          <w:rFonts w:asciiTheme="majorHAnsi" w:hAnsiTheme="majorHAnsi" w:cstheme="majorHAnsi"/>
          <w:lang w:val="en-US"/>
        </w:rPr>
        <w:t>This stress extends to the ability to consistently provide nutritious food for families and dependents</w:t>
      </w:r>
      <w:r w:rsidR="00D13791">
        <w:rPr>
          <w:rFonts w:asciiTheme="majorHAnsi" w:hAnsiTheme="majorHAnsi" w:cstheme="majorHAnsi"/>
          <w:lang w:val="en-US"/>
        </w:rPr>
        <w:t>;</w:t>
      </w:r>
      <w:r w:rsidR="00084C8C">
        <w:rPr>
          <w:rFonts w:asciiTheme="majorHAnsi" w:hAnsiTheme="majorHAnsi" w:cstheme="majorHAnsi"/>
          <w:lang w:val="en-US"/>
        </w:rPr>
        <w:t xml:space="preserve"> the appeal of cost-effective nutrient</w:t>
      </w:r>
      <w:r w:rsidR="009F3DF2">
        <w:rPr>
          <w:rFonts w:asciiTheme="majorHAnsi" w:hAnsiTheme="majorHAnsi" w:cstheme="majorHAnsi"/>
          <w:lang w:val="en-US"/>
        </w:rPr>
        <w:t>-</w:t>
      </w:r>
      <w:r w:rsidR="00084C8C">
        <w:rPr>
          <w:rFonts w:asciiTheme="majorHAnsi" w:hAnsiTheme="majorHAnsi" w:cstheme="majorHAnsi"/>
          <w:lang w:val="en-US"/>
        </w:rPr>
        <w:t xml:space="preserve">poor market foods is understandable. However, the health benefits of prioritizing country food consumption in comparison to processed market foods are vast; </w:t>
      </w:r>
      <w:r w:rsidR="00652727">
        <w:rPr>
          <w:rFonts w:asciiTheme="majorHAnsi" w:hAnsiTheme="majorHAnsi" w:cstheme="majorHAnsi"/>
          <w:lang w:val="en-US"/>
        </w:rPr>
        <w:t xml:space="preserve">high levels of fats and sugars in processed items have been associated with increased incidents of </w:t>
      </w:r>
      <w:r w:rsidR="00652727">
        <w:rPr>
          <w:rFonts w:asciiTheme="majorHAnsi" w:hAnsiTheme="majorHAnsi" w:cstheme="majorHAnsi"/>
          <w:lang w:val="en-US"/>
        </w:rPr>
        <w:lastRenderedPageBreak/>
        <w:t>obesity, heart disease and diabetes</w:t>
      </w:r>
      <w:r w:rsidR="00426F82" w:rsidRPr="00633991">
        <w:rPr>
          <w:rFonts w:asciiTheme="majorHAnsi" w:hAnsiTheme="majorHAnsi" w:cstheme="majorHAnsi"/>
          <w:lang w:val="en-US"/>
        </w:rPr>
        <w:t xml:space="preserve"> (</w:t>
      </w:r>
      <w:proofErr w:type="spellStart"/>
      <w:r w:rsidR="00652727" w:rsidRPr="00633991">
        <w:rPr>
          <w:rFonts w:asciiTheme="majorHAnsi" w:hAnsiTheme="majorHAnsi" w:cstheme="majorHAnsi"/>
          <w:lang w:val="en-US"/>
        </w:rPr>
        <w:t>Andrachuk</w:t>
      </w:r>
      <w:proofErr w:type="spellEnd"/>
      <w:r w:rsidR="009F3DF2">
        <w:rPr>
          <w:rFonts w:asciiTheme="majorHAnsi" w:hAnsiTheme="majorHAnsi" w:cstheme="majorHAnsi"/>
          <w:lang w:val="en-US"/>
        </w:rPr>
        <w:t>,</w:t>
      </w:r>
      <w:r w:rsidR="00652727" w:rsidRPr="00633991">
        <w:rPr>
          <w:rFonts w:asciiTheme="majorHAnsi" w:hAnsiTheme="majorHAnsi" w:cstheme="majorHAnsi"/>
          <w:lang w:val="en-US"/>
        </w:rPr>
        <w:t xml:space="preserve"> &amp; Smit, 2012</w:t>
      </w:r>
      <w:r w:rsidR="00652727">
        <w:rPr>
          <w:rFonts w:asciiTheme="majorHAnsi" w:hAnsiTheme="majorHAnsi" w:cstheme="majorHAnsi"/>
          <w:lang w:val="en-US"/>
        </w:rPr>
        <w:t xml:space="preserve">; </w:t>
      </w:r>
      <w:proofErr w:type="spellStart"/>
      <w:r w:rsidR="00426F82" w:rsidRPr="00633991">
        <w:rPr>
          <w:rFonts w:asciiTheme="majorHAnsi" w:hAnsiTheme="majorHAnsi" w:cstheme="majorHAnsi"/>
          <w:lang w:val="en-US"/>
        </w:rPr>
        <w:t>Duhaime</w:t>
      </w:r>
      <w:proofErr w:type="spellEnd"/>
      <w:r w:rsidR="00BD3B56">
        <w:rPr>
          <w:rFonts w:asciiTheme="majorHAnsi" w:hAnsiTheme="majorHAnsi" w:cstheme="majorHAnsi"/>
          <w:lang w:val="en-US"/>
        </w:rPr>
        <w:t xml:space="preserve">, </w:t>
      </w:r>
      <w:r w:rsidR="00BD3B56">
        <w:rPr>
          <w:rFonts w:asciiTheme="majorHAnsi" w:eastAsia="Times New Roman" w:hAnsiTheme="majorHAnsi" w:cstheme="majorHAnsi"/>
          <w:color w:val="000000"/>
        </w:rPr>
        <w:t xml:space="preserve">Chabot, &amp; Gaudreault, </w:t>
      </w:r>
      <w:r w:rsidR="00426F82" w:rsidRPr="00633991">
        <w:rPr>
          <w:rFonts w:asciiTheme="majorHAnsi" w:hAnsiTheme="majorHAnsi" w:cstheme="majorHAnsi"/>
          <w:lang w:val="en-US"/>
        </w:rPr>
        <w:t>2002; GNWT</w:t>
      </w:r>
      <w:r w:rsidR="00652727">
        <w:rPr>
          <w:rFonts w:asciiTheme="majorHAnsi" w:hAnsiTheme="majorHAnsi" w:cstheme="majorHAnsi"/>
          <w:lang w:val="en-US"/>
        </w:rPr>
        <w:t>,</w:t>
      </w:r>
      <w:r w:rsidR="00426F82" w:rsidRPr="00633991">
        <w:rPr>
          <w:rFonts w:asciiTheme="majorHAnsi" w:hAnsiTheme="majorHAnsi" w:cstheme="majorHAnsi"/>
          <w:lang w:val="en-US"/>
        </w:rPr>
        <w:t xml:space="preserve"> 2008</w:t>
      </w:r>
      <w:r w:rsidR="00370D04">
        <w:rPr>
          <w:rFonts w:asciiTheme="majorHAnsi" w:hAnsiTheme="majorHAnsi" w:cstheme="majorHAnsi"/>
          <w:lang w:val="en-US"/>
        </w:rPr>
        <w:t xml:space="preserve">; </w:t>
      </w:r>
      <w:r w:rsidR="00370D04" w:rsidRPr="00633991">
        <w:rPr>
          <w:rFonts w:asciiTheme="majorHAnsi" w:hAnsiTheme="majorHAnsi" w:cstheme="majorHAnsi"/>
          <w:lang w:val="en-US"/>
        </w:rPr>
        <w:t>Kuhnlein</w:t>
      </w:r>
      <w:r w:rsidR="009F3DF2">
        <w:rPr>
          <w:rFonts w:asciiTheme="majorHAnsi" w:hAnsiTheme="majorHAnsi" w:cstheme="majorHAnsi"/>
          <w:lang w:val="en-US"/>
        </w:rPr>
        <w:t>,</w:t>
      </w:r>
      <w:r w:rsidR="00370D04">
        <w:rPr>
          <w:rFonts w:asciiTheme="majorHAnsi" w:hAnsiTheme="majorHAnsi" w:cstheme="majorHAnsi"/>
          <w:lang w:val="en-US"/>
        </w:rPr>
        <w:t xml:space="preserve"> &amp; </w:t>
      </w:r>
      <w:proofErr w:type="spellStart"/>
      <w:r w:rsidR="00370D04" w:rsidRPr="00633991">
        <w:rPr>
          <w:rFonts w:asciiTheme="majorHAnsi" w:hAnsiTheme="majorHAnsi" w:cstheme="majorHAnsi"/>
          <w:lang w:val="en-US"/>
        </w:rPr>
        <w:t>Receveur</w:t>
      </w:r>
      <w:proofErr w:type="spellEnd"/>
      <w:r w:rsidR="00A73DB8">
        <w:rPr>
          <w:rFonts w:asciiTheme="majorHAnsi" w:hAnsiTheme="majorHAnsi" w:cstheme="majorHAnsi"/>
          <w:lang w:val="en-US"/>
        </w:rPr>
        <w:t>,</w:t>
      </w:r>
      <w:r w:rsidR="00370D04" w:rsidRPr="00633991">
        <w:rPr>
          <w:rFonts w:asciiTheme="majorHAnsi" w:hAnsiTheme="majorHAnsi" w:cstheme="majorHAnsi"/>
          <w:lang w:val="en-US"/>
        </w:rPr>
        <w:t xml:space="preserve"> 1996</w:t>
      </w:r>
      <w:r w:rsidR="00426F82" w:rsidRPr="00633991">
        <w:rPr>
          <w:rFonts w:asciiTheme="majorHAnsi" w:hAnsiTheme="majorHAnsi" w:cstheme="majorHAnsi"/>
          <w:lang w:val="en-US"/>
        </w:rPr>
        <w:t>)</w:t>
      </w:r>
      <w:r w:rsidR="00652727">
        <w:rPr>
          <w:rFonts w:asciiTheme="majorHAnsi" w:hAnsiTheme="majorHAnsi" w:cstheme="majorHAnsi"/>
          <w:lang w:val="en-US"/>
        </w:rPr>
        <w:t xml:space="preserve">. </w:t>
      </w:r>
    </w:p>
    <w:p w14:paraId="1A12A965" w14:textId="095303F0" w:rsidR="008E6FB5" w:rsidRPr="007C6D2E" w:rsidRDefault="00652727" w:rsidP="007C6D2E">
      <w:pPr>
        <w:pStyle w:val="NormalWeb"/>
        <w:contextualSpacing/>
        <w:rPr>
          <w:rFonts w:asciiTheme="majorHAnsi" w:hAnsiTheme="majorHAnsi" w:cstheme="majorHAnsi"/>
        </w:rPr>
      </w:pPr>
      <w:r>
        <w:rPr>
          <w:rFonts w:asciiTheme="majorHAnsi" w:hAnsiTheme="majorHAnsi" w:cstheme="majorHAnsi"/>
          <w:lang w:val="en-US"/>
        </w:rPr>
        <w:t>Tuktoyaktuk culture is bound to the land and follows seasonal changes.</w:t>
      </w:r>
      <w:r w:rsidR="00485E04" w:rsidRPr="00485E04">
        <w:rPr>
          <w:rFonts w:asciiTheme="majorHAnsi" w:hAnsiTheme="majorHAnsi" w:cstheme="majorHAnsi"/>
          <w:lang w:val="en-US"/>
        </w:rPr>
        <w:t xml:space="preserve"> </w:t>
      </w:r>
      <w:r w:rsidR="00485E04">
        <w:rPr>
          <w:rFonts w:asciiTheme="majorHAnsi" w:hAnsiTheme="majorHAnsi" w:cstheme="majorHAnsi"/>
          <w:lang w:val="en-US"/>
        </w:rPr>
        <w:t>T</w:t>
      </w:r>
      <w:r w:rsidR="007C6D2E">
        <w:rPr>
          <w:rFonts w:asciiTheme="majorHAnsi" w:hAnsiTheme="majorHAnsi" w:cstheme="majorHAnsi"/>
          <w:lang w:val="en-US"/>
        </w:rPr>
        <w:t>he t</w:t>
      </w:r>
      <w:r w:rsidR="00485E04">
        <w:rPr>
          <w:rFonts w:asciiTheme="majorHAnsi" w:hAnsiTheme="majorHAnsi" w:cstheme="majorHAnsi"/>
          <w:lang w:val="en-US"/>
        </w:rPr>
        <w:t>undra landscape and coastal sea ecosystem provide sparse but essential sources of sustenance for Tuktoyaktuk residents (</w:t>
      </w:r>
      <w:proofErr w:type="spellStart"/>
      <w:r w:rsidR="00485E04">
        <w:rPr>
          <w:rFonts w:asciiTheme="majorHAnsi" w:hAnsiTheme="majorHAnsi" w:cstheme="majorHAnsi"/>
          <w:lang w:val="en-US"/>
        </w:rPr>
        <w:t>Andrachuk</w:t>
      </w:r>
      <w:proofErr w:type="spellEnd"/>
      <w:r w:rsidR="009F3DF2">
        <w:rPr>
          <w:rFonts w:asciiTheme="majorHAnsi" w:hAnsiTheme="majorHAnsi" w:cstheme="majorHAnsi"/>
          <w:lang w:val="en-US"/>
        </w:rPr>
        <w:t>,</w:t>
      </w:r>
      <w:r w:rsidR="00485E04">
        <w:rPr>
          <w:rFonts w:asciiTheme="majorHAnsi" w:hAnsiTheme="majorHAnsi" w:cstheme="majorHAnsi"/>
          <w:lang w:val="en-US"/>
        </w:rPr>
        <w:t xml:space="preserve"> &amp; Smit, 2012).</w:t>
      </w:r>
      <w:r w:rsidR="00D13791">
        <w:rPr>
          <w:rFonts w:asciiTheme="majorHAnsi" w:hAnsiTheme="majorHAnsi" w:cstheme="majorHAnsi"/>
          <w:lang w:val="en-US"/>
        </w:rPr>
        <w:t xml:space="preserve"> </w:t>
      </w:r>
      <w:r w:rsidR="00D13791">
        <w:rPr>
          <w:rFonts w:asciiTheme="majorHAnsi" w:hAnsiTheme="majorHAnsi" w:cstheme="majorHAnsi"/>
        </w:rPr>
        <w:t xml:space="preserve">Traditional food gathering methods continue to provide most or all of the meat in more than half of the households in the community (Statistics Canada, 2002). </w:t>
      </w:r>
      <w:r>
        <w:rPr>
          <w:rFonts w:asciiTheme="majorHAnsi" w:hAnsiTheme="majorHAnsi" w:cstheme="majorHAnsi"/>
          <w:lang w:val="en-US"/>
        </w:rPr>
        <w:t>Activities that support the community’s traditional food system include trapping Arctic hare, fox</w:t>
      </w:r>
      <w:r w:rsidR="009D0AFC">
        <w:rPr>
          <w:rFonts w:asciiTheme="majorHAnsi" w:hAnsiTheme="majorHAnsi" w:cstheme="majorHAnsi"/>
          <w:lang w:val="en-US"/>
        </w:rPr>
        <w:t>,</w:t>
      </w:r>
      <w:r>
        <w:rPr>
          <w:rFonts w:asciiTheme="majorHAnsi" w:hAnsiTheme="majorHAnsi" w:cstheme="majorHAnsi"/>
          <w:lang w:val="en-US"/>
        </w:rPr>
        <w:t xml:space="preserve"> </w:t>
      </w:r>
      <w:r w:rsidR="009D0AFC">
        <w:rPr>
          <w:rFonts w:asciiTheme="majorHAnsi" w:hAnsiTheme="majorHAnsi" w:cstheme="majorHAnsi"/>
          <w:lang w:val="en-US"/>
        </w:rPr>
        <w:t xml:space="preserve">caribou, bears, seals, herding reindeer and </w:t>
      </w:r>
      <w:r>
        <w:rPr>
          <w:rFonts w:asciiTheme="majorHAnsi" w:hAnsiTheme="majorHAnsi" w:cstheme="majorHAnsi"/>
          <w:lang w:val="en-US"/>
        </w:rPr>
        <w:t>gathering blueberries, cloudberries and wild rhubarb</w:t>
      </w:r>
      <w:r w:rsidR="009D0AFC">
        <w:rPr>
          <w:rFonts w:asciiTheme="majorHAnsi" w:hAnsiTheme="majorHAnsi" w:cstheme="majorHAnsi"/>
          <w:lang w:val="en-US"/>
        </w:rPr>
        <w:t xml:space="preserve">. </w:t>
      </w:r>
      <w:r>
        <w:rPr>
          <w:rFonts w:asciiTheme="majorHAnsi" w:hAnsiTheme="majorHAnsi" w:cstheme="majorHAnsi"/>
          <w:lang w:val="en-US"/>
        </w:rPr>
        <w:t>Summertime beluga whale harvests along the Tuktoyaktuk coastline provides nutrient-dense food supplies that sustain the community through lengthy winters (</w:t>
      </w:r>
      <w:proofErr w:type="spellStart"/>
      <w:r w:rsidRPr="00633991">
        <w:rPr>
          <w:rFonts w:asciiTheme="majorHAnsi" w:hAnsiTheme="majorHAnsi" w:cstheme="majorHAnsi"/>
          <w:lang w:val="en-US"/>
        </w:rPr>
        <w:t>Andrachuk</w:t>
      </w:r>
      <w:proofErr w:type="spellEnd"/>
      <w:r w:rsidR="009F3DF2">
        <w:rPr>
          <w:rFonts w:asciiTheme="majorHAnsi" w:hAnsiTheme="majorHAnsi" w:cstheme="majorHAnsi"/>
          <w:lang w:val="en-US"/>
        </w:rPr>
        <w:t>,</w:t>
      </w:r>
      <w:r w:rsidRPr="00633991">
        <w:rPr>
          <w:rFonts w:asciiTheme="majorHAnsi" w:hAnsiTheme="majorHAnsi" w:cstheme="majorHAnsi"/>
          <w:lang w:val="en-US"/>
        </w:rPr>
        <w:t xml:space="preserve"> &amp; Smit, 2012</w:t>
      </w:r>
      <w:r>
        <w:rPr>
          <w:rFonts w:asciiTheme="majorHAnsi" w:hAnsiTheme="majorHAnsi" w:cstheme="majorHAnsi"/>
          <w:lang w:val="en-US"/>
        </w:rPr>
        <w:t xml:space="preserve">; </w:t>
      </w:r>
      <w:r w:rsidRPr="00633991">
        <w:rPr>
          <w:rFonts w:asciiTheme="majorHAnsi" w:hAnsiTheme="majorHAnsi" w:cstheme="majorHAnsi"/>
          <w:lang w:val="en-US"/>
        </w:rPr>
        <w:t>Harwood et al.</w:t>
      </w:r>
      <w:r>
        <w:rPr>
          <w:rFonts w:asciiTheme="majorHAnsi" w:hAnsiTheme="majorHAnsi" w:cstheme="majorHAnsi"/>
          <w:lang w:val="en-US"/>
        </w:rPr>
        <w:t>,</w:t>
      </w:r>
      <w:r w:rsidRPr="00633991">
        <w:rPr>
          <w:rFonts w:asciiTheme="majorHAnsi" w:hAnsiTheme="majorHAnsi" w:cstheme="majorHAnsi"/>
          <w:lang w:val="en-US"/>
        </w:rPr>
        <w:t xml:space="preserve"> 2002</w:t>
      </w:r>
      <w:r>
        <w:rPr>
          <w:rFonts w:asciiTheme="majorHAnsi" w:hAnsiTheme="majorHAnsi" w:cstheme="majorHAnsi"/>
          <w:lang w:val="en-US"/>
        </w:rPr>
        <w:t xml:space="preserve">). </w:t>
      </w:r>
      <w:r w:rsidR="009D0AFC">
        <w:rPr>
          <w:rFonts w:asciiTheme="majorHAnsi" w:hAnsiTheme="majorHAnsi" w:cstheme="majorHAnsi"/>
          <w:lang w:val="en-US"/>
        </w:rPr>
        <w:t>Beluga is an essential source of nutrients for all communities in Inuvialuit and the process</w:t>
      </w:r>
      <w:r w:rsidR="007C6D2E">
        <w:rPr>
          <w:rFonts w:asciiTheme="majorHAnsi" w:hAnsiTheme="majorHAnsi" w:cstheme="majorHAnsi"/>
          <w:lang w:val="en-US"/>
        </w:rPr>
        <w:t>es</w:t>
      </w:r>
      <w:r w:rsidR="009D0AFC">
        <w:rPr>
          <w:rFonts w:asciiTheme="majorHAnsi" w:hAnsiTheme="majorHAnsi" w:cstheme="majorHAnsi"/>
          <w:lang w:val="en-US"/>
        </w:rPr>
        <w:t xml:space="preserve"> of harvesting </w:t>
      </w:r>
      <w:r w:rsidR="007C6D2E">
        <w:rPr>
          <w:rFonts w:asciiTheme="majorHAnsi" w:hAnsiTheme="majorHAnsi" w:cstheme="majorHAnsi"/>
          <w:lang w:val="en-US"/>
        </w:rPr>
        <w:t>and s</w:t>
      </w:r>
      <w:r w:rsidR="009D0AFC">
        <w:rPr>
          <w:rFonts w:asciiTheme="majorHAnsi" w:hAnsiTheme="majorHAnsi" w:cstheme="majorHAnsi"/>
          <w:lang w:val="en-US"/>
        </w:rPr>
        <w:t xml:space="preserve">haring the </w:t>
      </w:r>
      <w:r w:rsidR="00485E04">
        <w:rPr>
          <w:rFonts w:asciiTheme="majorHAnsi" w:hAnsiTheme="majorHAnsi" w:cstheme="majorHAnsi"/>
          <w:lang w:val="en-US"/>
        </w:rPr>
        <w:t>meat is a significant cultural tradition (Harwood et al., 2002). Harvested beluga feeds the community and is also distributed on a wider scale through food sharing networks of extended family and friends. Beluga is considered a staple source of food for many residents of Tuktoyaktuk and the wider region of Inuvialuit</w:t>
      </w:r>
      <w:r w:rsidR="007C6D2E">
        <w:rPr>
          <w:rFonts w:asciiTheme="majorHAnsi" w:hAnsiTheme="majorHAnsi" w:cstheme="majorHAnsi"/>
          <w:lang w:val="en-US"/>
        </w:rPr>
        <w:t>,</w:t>
      </w:r>
      <w:r w:rsidR="00485E04">
        <w:rPr>
          <w:rFonts w:asciiTheme="majorHAnsi" w:hAnsiTheme="majorHAnsi" w:cstheme="majorHAnsi"/>
          <w:lang w:val="en-US"/>
        </w:rPr>
        <w:t xml:space="preserve"> as it provides nutrient-dense sustenance for many months (Waugh et al., 2018). </w:t>
      </w:r>
      <w:r w:rsidR="00592D76">
        <w:rPr>
          <w:rFonts w:asciiTheme="majorHAnsi" w:hAnsiTheme="majorHAnsi" w:cstheme="majorHAnsi"/>
          <w:lang w:val="en-US"/>
        </w:rPr>
        <w:t xml:space="preserve">The spring </w:t>
      </w:r>
      <w:r w:rsidR="009D0AFC">
        <w:rPr>
          <w:rFonts w:asciiTheme="majorHAnsi" w:hAnsiTheme="majorHAnsi" w:cstheme="majorHAnsi"/>
          <w:lang w:val="en-US"/>
        </w:rPr>
        <w:t>waterfowl hunt is</w:t>
      </w:r>
      <w:r w:rsidR="007C6D2E">
        <w:rPr>
          <w:rFonts w:asciiTheme="majorHAnsi" w:hAnsiTheme="majorHAnsi" w:cstheme="majorHAnsi"/>
          <w:lang w:val="en-US"/>
        </w:rPr>
        <w:t xml:space="preserve"> also</w:t>
      </w:r>
      <w:r w:rsidR="009D0AFC">
        <w:rPr>
          <w:rFonts w:asciiTheme="majorHAnsi" w:hAnsiTheme="majorHAnsi" w:cstheme="majorHAnsi"/>
          <w:lang w:val="en-US"/>
        </w:rPr>
        <w:t xml:space="preserve"> a significant annual event that provides an essential opportunity for the community to strengthen their cultural relationship with the land (Bromley, 1996). While subsistence harvesting remains a key component of livelihood in Tuktoyaktuk and a source of cost-effective food, it also provides opportunities for wage employment in the community (Usher, 2002). </w:t>
      </w:r>
      <w:r w:rsidR="00485E04">
        <w:rPr>
          <w:rFonts w:asciiTheme="majorHAnsi" w:hAnsiTheme="majorHAnsi" w:cstheme="majorHAnsi"/>
          <w:lang w:val="en-US"/>
        </w:rPr>
        <w:t>Research suggests that factors such as country food consumption, sharing networks and IQ play an even more significant role in smaller Arctic communities, such as Tuktoyaktuk,</w:t>
      </w:r>
      <w:r w:rsidR="007C6D2E">
        <w:rPr>
          <w:rFonts w:asciiTheme="majorHAnsi" w:hAnsiTheme="majorHAnsi" w:cstheme="majorHAnsi"/>
          <w:lang w:val="en-US"/>
        </w:rPr>
        <w:t xml:space="preserve"> when compared </w:t>
      </w:r>
      <w:r w:rsidR="00485E04">
        <w:rPr>
          <w:rFonts w:asciiTheme="majorHAnsi" w:hAnsiTheme="majorHAnsi" w:cstheme="majorHAnsi"/>
          <w:lang w:val="en-US"/>
        </w:rPr>
        <w:t xml:space="preserve">to larger Inuit settlements (Guo et al., 2015). </w:t>
      </w:r>
    </w:p>
    <w:p w14:paraId="15E1492A" w14:textId="293799AD" w:rsidR="00FC7715" w:rsidRDefault="008E6FB5" w:rsidP="00986AD3">
      <w:pPr>
        <w:adjustRightInd w:val="0"/>
        <w:snapToGrid w:val="0"/>
        <w:spacing w:before="120" w:after="120"/>
        <w:contextualSpacing/>
        <w:rPr>
          <w:rFonts w:asciiTheme="majorHAnsi" w:eastAsia="Calibri" w:hAnsiTheme="majorHAnsi" w:cstheme="majorHAnsi"/>
          <w:b/>
          <w:bCs/>
        </w:rPr>
      </w:pPr>
      <w:r w:rsidRPr="00633991">
        <w:rPr>
          <w:rFonts w:asciiTheme="majorHAnsi" w:eastAsia="Calibri" w:hAnsiTheme="majorHAnsi" w:cstheme="majorHAnsi"/>
          <w:b/>
          <w:bCs/>
        </w:rPr>
        <w:t xml:space="preserve">Climate Crisis and Tuktoyaktuk’s Food Sovereignty </w:t>
      </w:r>
    </w:p>
    <w:p w14:paraId="550F37A5" w14:textId="7094CA65" w:rsidR="00485E04" w:rsidRDefault="00485E04" w:rsidP="00986AD3">
      <w:pPr>
        <w:adjustRightInd w:val="0"/>
        <w:snapToGrid w:val="0"/>
        <w:spacing w:before="120" w:after="120"/>
        <w:contextualSpacing/>
        <w:rPr>
          <w:rFonts w:asciiTheme="majorHAnsi" w:eastAsia="Calibri" w:hAnsiTheme="majorHAnsi" w:cstheme="majorHAnsi"/>
          <w:b/>
          <w:bCs/>
        </w:rPr>
      </w:pPr>
    </w:p>
    <w:p w14:paraId="1632AA6C" w14:textId="58E7B763" w:rsidR="00782E8D" w:rsidRPr="00A73DB8" w:rsidRDefault="00D8143C" w:rsidP="00A840B8">
      <w:pPr>
        <w:contextualSpacing/>
        <w:rPr>
          <w:rFonts w:asciiTheme="majorHAnsi" w:eastAsia="Calibri" w:hAnsiTheme="majorHAnsi" w:cstheme="majorHAnsi"/>
          <w:bCs/>
        </w:rPr>
      </w:pPr>
      <w:r>
        <w:rPr>
          <w:rFonts w:asciiTheme="majorHAnsi" w:eastAsia="Calibri" w:hAnsiTheme="majorHAnsi" w:cstheme="majorHAnsi"/>
          <w:bCs/>
        </w:rPr>
        <w:t xml:space="preserve">Tuktoyaktuk experiences a tundra climate with dry, long winter seasons and shorter summers, having only 3 to 4 months without completely frozen sea ice </w:t>
      </w:r>
      <w:r w:rsidRPr="009D0AFC">
        <w:rPr>
          <w:rFonts w:asciiTheme="majorHAnsi" w:hAnsiTheme="majorHAnsi" w:cstheme="majorHAnsi"/>
          <w:lang w:val="en-US"/>
        </w:rPr>
        <w:t>(</w:t>
      </w:r>
      <w:proofErr w:type="spellStart"/>
      <w:r w:rsidRPr="009D0AFC">
        <w:rPr>
          <w:rFonts w:asciiTheme="majorHAnsi" w:hAnsiTheme="majorHAnsi" w:cstheme="majorHAnsi"/>
          <w:lang w:val="en-US"/>
        </w:rPr>
        <w:t>Andrachuk</w:t>
      </w:r>
      <w:proofErr w:type="spellEnd"/>
      <w:r w:rsidRPr="009D0AFC">
        <w:rPr>
          <w:rFonts w:asciiTheme="majorHAnsi" w:hAnsiTheme="majorHAnsi" w:cstheme="majorHAnsi"/>
          <w:lang w:val="en-US"/>
        </w:rPr>
        <w:t xml:space="preserve"> &amp; Smit, 2012)</w:t>
      </w:r>
      <w:r>
        <w:rPr>
          <w:rFonts w:asciiTheme="majorHAnsi" w:hAnsiTheme="majorHAnsi" w:cstheme="majorHAnsi"/>
          <w:lang w:val="en-US"/>
        </w:rPr>
        <w:t xml:space="preserve">. </w:t>
      </w:r>
      <w:r w:rsidR="002F0852">
        <w:rPr>
          <w:rFonts w:asciiTheme="majorHAnsi" w:eastAsia="Calibri" w:hAnsiTheme="majorHAnsi" w:cstheme="majorHAnsi"/>
          <w:bCs/>
        </w:rPr>
        <w:t xml:space="preserve">The </w:t>
      </w:r>
      <w:r>
        <w:rPr>
          <w:rFonts w:asciiTheme="majorHAnsi" w:eastAsia="Calibri" w:hAnsiTheme="majorHAnsi" w:cstheme="majorHAnsi"/>
          <w:bCs/>
        </w:rPr>
        <w:t xml:space="preserve">warming Arctic climate is shifting ecological borders, altering wildlife migration patterns and endangering plant life in tundra climates. </w:t>
      </w:r>
      <w:r>
        <w:rPr>
          <w:rFonts w:asciiTheme="majorHAnsi" w:hAnsiTheme="majorHAnsi" w:cstheme="majorHAnsi"/>
          <w:lang w:val="en-US"/>
        </w:rPr>
        <w:t xml:space="preserve">Traditional harvesting events of beluga whales and </w:t>
      </w:r>
      <w:r w:rsidR="00717BE0">
        <w:rPr>
          <w:rFonts w:asciiTheme="majorHAnsi" w:hAnsiTheme="majorHAnsi" w:cstheme="majorHAnsi"/>
          <w:lang w:val="en-US"/>
        </w:rPr>
        <w:t>other species</w:t>
      </w:r>
      <w:r>
        <w:rPr>
          <w:rFonts w:asciiTheme="majorHAnsi" w:hAnsiTheme="majorHAnsi" w:cstheme="majorHAnsi"/>
          <w:lang w:val="en-US"/>
        </w:rPr>
        <w:t xml:space="preserve"> </w:t>
      </w:r>
      <w:r w:rsidR="00717BE0">
        <w:rPr>
          <w:rFonts w:asciiTheme="majorHAnsi" w:hAnsiTheme="majorHAnsi" w:cstheme="majorHAnsi"/>
          <w:lang w:val="en-US"/>
        </w:rPr>
        <w:t xml:space="preserve">revolve around </w:t>
      </w:r>
      <w:r>
        <w:rPr>
          <w:rFonts w:asciiTheme="majorHAnsi" w:hAnsiTheme="majorHAnsi" w:cstheme="majorHAnsi"/>
          <w:lang w:val="en-US"/>
        </w:rPr>
        <w:t xml:space="preserve">seasonal changes </w:t>
      </w:r>
      <w:r w:rsidR="00717BE0">
        <w:rPr>
          <w:rFonts w:asciiTheme="majorHAnsi" w:hAnsiTheme="majorHAnsi" w:cstheme="majorHAnsi"/>
          <w:lang w:val="en-US"/>
        </w:rPr>
        <w:t>and are reliant on sea ice. Therefore, food security for Tuktoyaktuk community members is at risk due to rising temperatures and subsequent loss of sea ice, which decrease accessibility of country foods (</w:t>
      </w:r>
      <w:r w:rsidR="00717BE0" w:rsidRPr="00633991">
        <w:rPr>
          <w:rFonts w:asciiTheme="majorHAnsi" w:hAnsiTheme="majorHAnsi" w:cstheme="majorHAnsi"/>
          <w:lang w:val="en-US"/>
        </w:rPr>
        <w:t>Post et al.</w:t>
      </w:r>
      <w:r w:rsidR="00717BE0">
        <w:rPr>
          <w:rFonts w:asciiTheme="majorHAnsi" w:hAnsiTheme="majorHAnsi" w:cstheme="majorHAnsi"/>
          <w:lang w:val="en-US"/>
        </w:rPr>
        <w:t>,</w:t>
      </w:r>
      <w:r w:rsidR="00717BE0" w:rsidRPr="00633991">
        <w:rPr>
          <w:rFonts w:asciiTheme="majorHAnsi" w:hAnsiTheme="majorHAnsi" w:cstheme="majorHAnsi"/>
          <w:lang w:val="en-US"/>
        </w:rPr>
        <w:t xml:space="preserve"> 200</w:t>
      </w:r>
      <w:r w:rsidR="00A73DB8">
        <w:rPr>
          <w:rFonts w:asciiTheme="majorHAnsi" w:hAnsiTheme="majorHAnsi" w:cstheme="majorHAnsi"/>
          <w:lang w:val="en-US"/>
        </w:rPr>
        <w:t>9</w:t>
      </w:r>
      <w:r w:rsidR="00717BE0">
        <w:rPr>
          <w:rFonts w:asciiTheme="majorHAnsi" w:hAnsiTheme="majorHAnsi" w:cstheme="majorHAnsi"/>
          <w:lang w:val="en-US"/>
        </w:rPr>
        <w:t>).</w:t>
      </w:r>
      <w:r w:rsidR="0029292B">
        <w:rPr>
          <w:rFonts w:asciiTheme="majorHAnsi" w:hAnsiTheme="majorHAnsi" w:cstheme="majorHAnsi"/>
          <w:lang w:val="en-US"/>
        </w:rPr>
        <w:t xml:space="preserve"> </w:t>
      </w:r>
      <w:r w:rsidR="00717BE0">
        <w:rPr>
          <w:rFonts w:asciiTheme="majorHAnsi" w:eastAsia="Calibri" w:hAnsiTheme="majorHAnsi" w:cstheme="majorHAnsi"/>
          <w:bCs/>
        </w:rPr>
        <w:t>A</w:t>
      </w:r>
      <w:r w:rsidR="0029292B">
        <w:rPr>
          <w:rFonts w:asciiTheme="majorHAnsi" w:eastAsia="Calibri" w:hAnsiTheme="majorHAnsi" w:cstheme="majorHAnsi"/>
          <w:bCs/>
        </w:rPr>
        <w:t xml:space="preserve">dditionally, the recent experience of </w:t>
      </w:r>
      <w:r w:rsidR="00717BE0">
        <w:rPr>
          <w:rFonts w:asciiTheme="majorHAnsi" w:eastAsia="Calibri" w:hAnsiTheme="majorHAnsi" w:cstheme="majorHAnsi"/>
          <w:bCs/>
        </w:rPr>
        <w:t>decrease</w:t>
      </w:r>
      <w:r w:rsidR="0029292B">
        <w:rPr>
          <w:rFonts w:asciiTheme="majorHAnsi" w:eastAsia="Calibri" w:hAnsiTheme="majorHAnsi" w:cstheme="majorHAnsi"/>
          <w:bCs/>
        </w:rPr>
        <w:t>d</w:t>
      </w:r>
      <w:r w:rsidR="00717BE0">
        <w:rPr>
          <w:rFonts w:asciiTheme="majorHAnsi" w:eastAsia="Calibri" w:hAnsiTheme="majorHAnsi" w:cstheme="majorHAnsi"/>
          <w:bCs/>
        </w:rPr>
        <w:t xml:space="preserve"> availability of caribou </w:t>
      </w:r>
      <w:r w:rsidR="0029292B">
        <w:rPr>
          <w:rFonts w:asciiTheme="majorHAnsi" w:eastAsia="Calibri" w:hAnsiTheme="majorHAnsi" w:cstheme="majorHAnsi"/>
          <w:bCs/>
        </w:rPr>
        <w:t xml:space="preserve">in the region </w:t>
      </w:r>
      <w:r w:rsidR="00717BE0">
        <w:rPr>
          <w:rFonts w:asciiTheme="majorHAnsi" w:eastAsia="Calibri" w:hAnsiTheme="majorHAnsi" w:cstheme="majorHAnsi"/>
          <w:bCs/>
        </w:rPr>
        <w:t xml:space="preserve">has resulted in significant stress for the people of Tuktoyaktuk. </w:t>
      </w:r>
      <w:r w:rsidR="0029292B">
        <w:rPr>
          <w:rFonts w:asciiTheme="majorHAnsi" w:eastAsia="Calibri" w:hAnsiTheme="majorHAnsi" w:cstheme="majorHAnsi"/>
          <w:bCs/>
        </w:rPr>
        <w:t>Arctic research has found that the reproduction cycle of caribou depends on timing of seasonal changes, warmer temperatures result in earlier vegetative growth but caribou migration relies on daylight cues and many herds miss optimal vegetation availability (Post et al., 200</w:t>
      </w:r>
      <w:r w:rsidR="00A73DB8">
        <w:rPr>
          <w:rFonts w:asciiTheme="majorHAnsi" w:eastAsia="Calibri" w:hAnsiTheme="majorHAnsi" w:cstheme="majorHAnsi"/>
          <w:bCs/>
        </w:rPr>
        <w:t>9</w:t>
      </w:r>
      <w:r w:rsidR="0029292B">
        <w:rPr>
          <w:rFonts w:asciiTheme="majorHAnsi" w:eastAsia="Calibri" w:hAnsiTheme="majorHAnsi" w:cstheme="majorHAnsi"/>
          <w:bCs/>
        </w:rPr>
        <w:t xml:space="preserve">; </w:t>
      </w:r>
      <w:r w:rsidR="0029292B" w:rsidRPr="00633991">
        <w:rPr>
          <w:rFonts w:asciiTheme="majorHAnsi" w:hAnsiTheme="majorHAnsi" w:cstheme="majorHAnsi"/>
          <w:lang w:val="en-US"/>
        </w:rPr>
        <w:t>Post</w:t>
      </w:r>
      <w:r w:rsidR="00AC09FD">
        <w:rPr>
          <w:rFonts w:asciiTheme="majorHAnsi" w:hAnsiTheme="majorHAnsi" w:cstheme="majorHAnsi"/>
          <w:lang w:val="en-US"/>
        </w:rPr>
        <w:t>,</w:t>
      </w:r>
      <w:r w:rsidR="0029292B" w:rsidRPr="00633991">
        <w:rPr>
          <w:rFonts w:asciiTheme="majorHAnsi" w:hAnsiTheme="majorHAnsi" w:cstheme="majorHAnsi"/>
          <w:lang w:val="en-US"/>
        </w:rPr>
        <w:t xml:space="preserve"> </w:t>
      </w:r>
      <w:r w:rsidR="0029292B">
        <w:rPr>
          <w:rFonts w:asciiTheme="majorHAnsi" w:hAnsiTheme="majorHAnsi" w:cstheme="majorHAnsi"/>
          <w:lang w:val="en-US"/>
        </w:rPr>
        <w:t xml:space="preserve">&amp; </w:t>
      </w:r>
      <w:proofErr w:type="spellStart"/>
      <w:r w:rsidR="0029292B" w:rsidRPr="00633991">
        <w:rPr>
          <w:rFonts w:asciiTheme="majorHAnsi" w:hAnsiTheme="majorHAnsi" w:cstheme="majorHAnsi"/>
          <w:lang w:val="en-US"/>
        </w:rPr>
        <w:t>Forschhammer</w:t>
      </w:r>
      <w:proofErr w:type="spellEnd"/>
      <w:r w:rsidR="0029292B">
        <w:rPr>
          <w:rFonts w:asciiTheme="majorHAnsi" w:hAnsiTheme="majorHAnsi" w:cstheme="majorHAnsi"/>
          <w:lang w:val="en-US"/>
        </w:rPr>
        <w:t>,</w:t>
      </w:r>
      <w:r w:rsidR="0029292B" w:rsidRPr="00633991">
        <w:rPr>
          <w:rFonts w:asciiTheme="majorHAnsi" w:hAnsiTheme="majorHAnsi" w:cstheme="majorHAnsi"/>
          <w:lang w:val="en-US"/>
        </w:rPr>
        <w:t xml:space="preserve"> 2008</w:t>
      </w:r>
      <w:r w:rsidR="0029292B">
        <w:rPr>
          <w:rFonts w:asciiTheme="majorHAnsi" w:hAnsiTheme="majorHAnsi" w:cstheme="majorHAnsi"/>
          <w:lang w:val="en-US"/>
        </w:rPr>
        <w:t>).</w:t>
      </w:r>
      <w:r w:rsidR="00897DB8">
        <w:rPr>
          <w:rFonts w:asciiTheme="majorHAnsi" w:hAnsiTheme="majorHAnsi" w:cstheme="majorHAnsi"/>
          <w:lang w:val="en-US"/>
        </w:rPr>
        <w:t xml:space="preserve"> Decreased caribou health and overall population adversely impacts Inuit communities with older populations, high unemployment rates and less retail stores by limiting access to country foods (Chiu, Goddard</w:t>
      </w:r>
      <w:r w:rsidR="00A73DB8">
        <w:rPr>
          <w:rFonts w:asciiTheme="majorHAnsi" w:hAnsiTheme="majorHAnsi" w:cstheme="majorHAnsi"/>
          <w:lang w:val="en-US"/>
        </w:rPr>
        <w:t>,</w:t>
      </w:r>
      <w:r w:rsidR="00897DB8">
        <w:rPr>
          <w:rFonts w:asciiTheme="majorHAnsi" w:hAnsiTheme="majorHAnsi" w:cstheme="majorHAnsi"/>
          <w:lang w:val="en-US"/>
        </w:rPr>
        <w:t xml:space="preserve"> &amp; </w:t>
      </w:r>
      <w:proofErr w:type="spellStart"/>
      <w:r w:rsidR="00897DB8">
        <w:rPr>
          <w:rFonts w:asciiTheme="majorHAnsi" w:hAnsiTheme="majorHAnsi" w:cstheme="majorHAnsi"/>
          <w:lang w:val="en-US"/>
        </w:rPr>
        <w:t>Parlee</w:t>
      </w:r>
      <w:proofErr w:type="spellEnd"/>
      <w:r w:rsidR="00897DB8">
        <w:rPr>
          <w:rFonts w:asciiTheme="majorHAnsi" w:hAnsiTheme="majorHAnsi" w:cstheme="majorHAnsi"/>
          <w:lang w:val="en-US"/>
        </w:rPr>
        <w:t xml:space="preserve">, 2016). </w:t>
      </w:r>
      <w:r w:rsidR="0029292B">
        <w:rPr>
          <w:rFonts w:asciiTheme="majorHAnsi" w:hAnsiTheme="majorHAnsi" w:cstheme="majorHAnsi"/>
          <w:lang w:val="en-US"/>
        </w:rPr>
        <w:t xml:space="preserve">The spring arrival of whales is also impacted by sea ice levels and many communities have </w:t>
      </w:r>
      <w:r w:rsidR="00BC083B">
        <w:rPr>
          <w:rFonts w:asciiTheme="majorHAnsi" w:hAnsiTheme="majorHAnsi" w:cstheme="majorHAnsi"/>
          <w:lang w:val="en-US"/>
        </w:rPr>
        <w:t>identified</w:t>
      </w:r>
      <w:r w:rsidR="0029292B">
        <w:rPr>
          <w:rFonts w:asciiTheme="majorHAnsi" w:hAnsiTheme="majorHAnsi" w:cstheme="majorHAnsi"/>
          <w:lang w:val="en-US"/>
        </w:rPr>
        <w:t xml:space="preserve"> the changing timing of whales as one of the most notable impacts of climate change</w:t>
      </w:r>
      <w:r w:rsidR="00BC083B">
        <w:rPr>
          <w:rFonts w:asciiTheme="majorHAnsi" w:hAnsiTheme="majorHAnsi" w:cstheme="majorHAnsi"/>
          <w:lang w:val="en-US"/>
        </w:rPr>
        <w:t>,</w:t>
      </w:r>
      <w:r w:rsidR="0029292B">
        <w:rPr>
          <w:rFonts w:asciiTheme="majorHAnsi" w:hAnsiTheme="majorHAnsi" w:cstheme="majorHAnsi"/>
          <w:lang w:val="en-US"/>
        </w:rPr>
        <w:t xml:space="preserve"> with whales arriving two and a half weeks earlier than previously </w:t>
      </w:r>
      <w:r w:rsidR="0029292B">
        <w:rPr>
          <w:rFonts w:asciiTheme="majorHAnsi" w:hAnsiTheme="majorHAnsi" w:cstheme="majorHAnsi"/>
          <w:lang w:val="en-US"/>
        </w:rPr>
        <w:lastRenderedPageBreak/>
        <w:t xml:space="preserve">experienced. Individuals have </w:t>
      </w:r>
      <w:r w:rsidR="00AC09FD">
        <w:rPr>
          <w:rFonts w:asciiTheme="majorHAnsi" w:hAnsiTheme="majorHAnsi" w:cstheme="majorHAnsi"/>
          <w:lang w:val="en-US"/>
        </w:rPr>
        <w:t xml:space="preserve">also </w:t>
      </w:r>
      <w:r w:rsidR="0029292B">
        <w:rPr>
          <w:rFonts w:asciiTheme="majorHAnsi" w:hAnsiTheme="majorHAnsi" w:cstheme="majorHAnsi"/>
          <w:lang w:val="en-US"/>
        </w:rPr>
        <w:t>noticed an observed decrease in body mass amongst the whales that</w:t>
      </w:r>
      <w:r w:rsidR="00BC083B">
        <w:rPr>
          <w:rFonts w:asciiTheme="majorHAnsi" w:hAnsiTheme="majorHAnsi" w:cstheme="majorHAnsi"/>
          <w:lang w:val="en-US"/>
        </w:rPr>
        <w:t xml:space="preserve"> </w:t>
      </w:r>
      <w:r w:rsidR="0029292B">
        <w:rPr>
          <w:rFonts w:asciiTheme="majorHAnsi" w:hAnsiTheme="majorHAnsi" w:cstheme="majorHAnsi"/>
          <w:lang w:val="en-US"/>
        </w:rPr>
        <w:t xml:space="preserve">arrive. </w:t>
      </w:r>
      <w:r w:rsidR="00AC09FD">
        <w:rPr>
          <w:rFonts w:asciiTheme="majorHAnsi" w:hAnsiTheme="majorHAnsi" w:cstheme="majorHAnsi"/>
          <w:lang w:val="en-US"/>
        </w:rPr>
        <w:t>Additionally, c</w:t>
      </w:r>
      <w:r w:rsidR="00897DB8">
        <w:rPr>
          <w:rFonts w:asciiTheme="majorHAnsi" w:hAnsiTheme="majorHAnsi" w:cstheme="majorHAnsi"/>
          <w:lang w:val="en-US"/>
        </w:rPr>
        <w:t>ommunity members have cited irregular weather patterns and an inability to predict the weather</w:t>
      </w:r>
      <w:r w:rsidR="00BC083B">
        <w:rPr>
          <w:rFonts w:asciiTheme="majorHAnsi" w:hAnsiTheme="majorHAnsi" w:cstheme="majorHAnsi"/>
          <w:lang w:val="en-US"/>
        </w:rPr>
        <w:t xml:space="preserve">, </w:t>
      </w:r>
      <w:r w:rsidR="00897DB8">
        <w:rPr>
          <w:rFonts w:asciiTheme="majorHAnsi" w:hAnsiTheme="majorHAnsi" w:cstheme="majorHAnsi"/>
          <w:lang w:val="en-US"/>
        </w:rPr>
        <w:t xml:space="preserve">which hinders the ability of the community to participate in traditional hunting methods (Waugh et al., 2018). </w:t>
      </w:r>
      <w:r w:rsidR="00B93786">
        <w:rPr>
          <w:rFonts w:asciiTheme="majorHAnsi" w:hAnsiTheme="majorHAnsi" w:cstheme="majorHAnsi"/>
          <w:lang w:val="en-US"/>
        </w:rPr>
        <w:t xml:space="preserve">The inability of the community to safely and sustainably harvest wildlife utilizing their IQ limits Tuktoyaktuk’s ability to maintain food sovereignty efforts and uphold subsistence livelihoods. Country foods such as beluga whales and caribou are not only nutrient-dense food sources but </w:t>
      </w:r>
      <w:r w:rsidR="00A840B8">
        <w:rPr>
          <w:rFonts w:asciiTheme="majorHAnsi" w:hAnsiTheme="majorHAnsi" w:cstheme="majorHAnsi"/>
          <w:lang w:val="en-US"/>
        </w:rPr>
        <w:t xml:space="preserve">hunting events strengthen important values for the community, such as sharing (The Wainwright Traditional Council, 2011). </w:t>
      </w:r>
    </w:p>
    <w:p w14:paraId="17257829" w14:textId="4E637583" w:rsidR="00782E8D" w:rsidRDefault="00782E8D" w:rsidP="00986AD3">
      <w:pPr>
        <w:adjustRightInd w:val="0"/>
        <w:snapToGrid w:val="0"/>
        <w:spacing w:before="120" w:after="120"/>
        <w:contextualSpacing/>
        <w:rPr>
          <w:rFonts w:asciiTheme="majorHAnsi" w:eastAsia="Calibri" w:hAnsiTheme="majorHAnsi" w:cstheme="majorHAnsi"/>
          <w:b/>
          <w:bCs/>
        </w:rPr>
      </w:pPr>
    </w:p>
    <w:p w14:paraId="2D7D2CD2" w14:textId="7D3784B9" w:rsidR="008C0F65" w:rsidRDefault="00782E8D" w:rsidP="00897DB8">
      <w:pPr>
        <w:contextualSpacing/>
        <w:rPr>
          <w:rFonts w:asciiTheme="majorHAnsi" w:hAnsiTheme="majorHAnsi" w:cstheme="majorHAnsi"/>
          <w:lang w:val="en-US"/>
        </w:rPr>
      </w:pPr>
      <w:r>
        <w:rPr>
          <w:rFonts w:asciiTheme="majorHAnsi" w:eastAsia="Calibri" w:hAnsiTheme="majorHAnsi" w:cstheme="majorHAnsi"/>
          <w:bCs/>
        </w:rPr>
        <w:t xml:space="preserve">While climate change </w:t>
      </w:r>
      <w:r w:rsidR="00A16860">
        <w:rPr>
          <w:rFonts w:asciiTheme="majorHAnsi" w:eastAsia="Calibri" w:hAnsiTheme="majorHAnsi" w:cstheme="majorHAnsi"/>
          <w:bCs/>
        </w:rPr>
        <w:t xml:space="preserve">is </w:t>
      </w:r>
      <w:r w:rsidR="00B93786">
        <w:rPr>
          <w:rFonts w:asciiTheme="majorHAnsi" w:eastAsia="Calibri" w:hAnsiTheme="majorHAnsi" w:cstheme="majorHAnsi"/>
          <w:bCs/>
        </w:rPr>
        <w:t xml:space="preserve">directly </w:t>
      </w:r>
      <w:r w:rsidR="00A16860">
        <w:rPr>
          <w:rFonts w:asciiTheme="majorHAnsi" w:eastAsia="Calibri" w:hAnsiTheme="majorHAnsi" w:cstheme="majorHAnsi"/>
          <w:bCs/>
        </w:rPr>
        <w:t xml:space="preserve">having a major impact on food security and IFS efforts, lack of stable housing and infrastructure is further complicated by climate induced coastal </w:t>
      </w:r>
      <w:r w:rsidR="00764ADE">
        <w:rPr>
          <w:rFonts w:asciiTheme="majorHAnsi" w:eastAsia="Calibri" w:hAnsiTheme="majorHAnsi" w:cstheme="majorHAnsi"/>
          <w:bCs/>
        </w:rPr>
        <w:t xml:space="preserve">erosion </w:t>
      </w:r>
      <w:r w:rsidR="00A16860">
        <w:rPr>
          <w:rFonts w:asciiTheme="majorHAnsi" w:eastAsia="Calibri" w:hAnsiTheme="majorHAnsi" w:cstheme="majorHAnsi"/>
          <w:bCs/>
        </w:rPr>
        <w:t>in Tuktoyaktuk, which ultimately impact community livelihoods and poverty levels (Mathias et al., 2008). Housing</w:t>
      </w:r>
      <w:r w:rsidR="00580FBB">
        <w:rPr>
          <w:rFonts w:asciiTheme="majorHAnsi" w:eastAsia="Calibri" w:hAnsiTheme="majorHAnsi" w:cstheme="majorHAnsi"/>
          <w:bCs/>
        </w:rPr>
        <w:t xml:space="preserve"> costs</w:t>
      </w:r>
      <w:r w:rsidR="00A16860">
        <w:rPr>
          <w:rFonts w:asciiTheme="majorHAnsi" w:eastAsia="Calibri" w:hAnsiTheme="majorHAnsi" w:cstheme="majorHAnsi"/>
          <w:bCs/>
        </w:rPr>
        <w:t xml:space="preserve"> </w:t>
      </w:r>
      <w:r w:rsidR="00580FBB">
        <w:rPr>
          <w:rFonts w:asciiTheme="majorHAnsi" w:eastAsia="Calibri" w:hAnsiTheme="majorHAnsi" w:cstheme="majorHAnsi"/>
          <w:bCs/>
        </w:rPr>
        <w:t xml:space="preserve">directly </w:t>
      </w:r>
      <w:r w:rsidR="00A16860">
        <w:rPr>
          <w:rFonts w:asciiTheme="majorHAnsi" w:eastAsia="Calibri" w:hAnsiTheme="majorHAnsi" w:cstheme="majorHAnsi"/>
          <w:bCs/>
        </w:rPr>
        <w:t xml:space="preserve">influence </w:t>
      </w:r>
      <w:r w:rsidR="00580FBB">
        <w:rPr>
          <w:rFonts w:asciiTheme="majorHAnsi" w:eastAsia="Calibri" w:hAnsiTheme="majorHAnsi" w:cstheme="majorHAnsi"/>
          <w:bCs/>
        </w:rPr>
        <w:t xml:space="preserve">the ability of families to afford nutrient-dense foods on a consistent basis. </w:t>
      </w:r>
      <w:r w:rsidR="007253F7">
        <w:rPr>
          <w:rFonts w:asciiTheme="majorHAnsi" w:eastAsia="Calibri" w:hAnsiTheme="majorHAnsi" w:cstheme="majorHAnsi"/>
          <w:bCs/>
        </w:rPr>
        <w:t>All of the infrastructure in Tuktoyaktuk is built on permafrost, making the community vulnerable to coastal erosion and flooding, which are results of increasing Arctic temperature, longer summer seasons and increased sea-ice melting (Manson</w:t>
      </w:r>
      <w:r w:rsidR="00A73DB8">
        <w:rPr>
          <w:rFonts w:asciiTheme="majorHAnsi" w:eastAsia="Calibri" w:hAnsiTheme="majorHAnsi" w:cstheme="majorHAnsi"/>
          <w:bCs/>
        </w:rPr>
        <w:t>,</w:t>
      </w:r>
      <w:r w:rsidR="007253F7">
        <w:rPr>
          <w:rFonts w:asciiTheme="majorHAnsi" w:eastAsia="Calibri" w:hAnsiTheme="majorHAnsi" w:cstheme="majorHAnsi"/>
          <w:bCs/>
        </w:rPr>
        <w:t xml:space="preserve"> </w:t>
      </w:r>
      <w:r w:rsidR="00A73DB8">
        <w:rPr>
          <w:rFonts w:asciiTheme="majorHAnsi" w:eastAsia="Calibri" w:hAnsiTheme="majorHAnsi" w:cstheme="majorHAnsi"/>
          <w:bCs/>
        </w:rPr>
        <w:t xml:space="preserve">&amp; </w:t>
      </w:r>
      <w:r w:rsidR="007253F7">
        <w:rPr>
          <w:rFonts w:asciiTheme="majorHAnsi" w:eastAsia="Calibri" w:hAnsiTheme="majorHAnsi" w:cstheme="majorHAnsi"/>
          <w:bCs/>
        </w:rPr>
        <w:t>Solomon, 2007). S</w:t>
      </w:r>
      <w:r w:rsidR="00580FBB">
        <w:rPr>
          <w:rFonts w:asciiTheme="majorHAnsi" w:eastAsia="Calibri" w:hAnsiTheme="majorHAnsi" w:cstheme="majorHAnsi"/>
          <w:bCs/>
        </w:rPr>
        <w:t>afe and adequate housing is necessary for families to prepare and store healthy, nutritious foods (</w:t>
      </w:r>
      <w:proofErr w:type="spellStart"/>
      <w:r w:rsidR="00580FBB">
        <w:rPr>
          <w:rFonts w:asciiTheme="majorHAnsi" w:eastAsia="Calibri" w:hAnsiTheme="majorHAnsi" w:cstheme="majorHAnsi"/>
          <w:bCs/>
        </w:rPr>
        <w:t>Fi</w:t>
      </w:r>
      <w:r w:rsidR="001D7E00">
        <w:rPr>
          <w:rFonts w:asciiTheme="majorHAnsi" w:eastAsia="Calibri" w:hAnsiTheme="majorHAnsi" w:cstheme="majorHAnsi"/>
          <w:bCs/>
        </w:rPr>
        <w:t>l</w:t>
      </w:r>
      <w:r w:rsidR="00580FBB">
        <w:rPr>
          <w:rFonts w:asciiTheme="majorHAnsi" w:eastAsia="Calibri" w:hAnsiTheme="majorHAnsi" w:cstheme="majorHAnsi"/>
          <w:bCs/>
        </w:rPr>
        <w:t>lion</w:t>
      </w:r>
      <w:proofErr w:type="spellEnd"/>
      <w:r w:rsidR="00580FBB">
        <w:rPr>
          <w:rFonts w:asciiTheme="majorHAnsi" w:eastAsia="Calibri" w:hAnsiTheme="majorHAnsi" w:cstheme="majorHAnsi"/>
          <w:bCs/>
        </w:rPr>
        <w:t xml:space="preserve"> et al., 2014). Many homes in Tuktoyaktuk sit</w:t>
      </w:r>
      <w:r w:rsidR="00764ADE">
        <w:rPr>
          <w:rFonts w:asciiTheme="majorHAnsi" w:eastAsia="Calibri" w:hAnsiTheme="majorHAnsi" w:cstheme="majorHAnsi"/>
          <w:bCs/>
        </w:rPr>
        <w:t xml:space="preserve"> </w:t>
      </w:r>
      <w:r w:rsidR="00580FBB">
        <w:rPr>
          <w:rFonts w:asciiTheme="majorHAnsi" w:eastAsia="Calibri" w:hAnsiTheme="majorHAnsi" w:cstheme="majorHAnsi"/>
          <w:bCs/>
        </w:rPr>
        <w:t>on blocks and stilt</w:t>
      </w:r>
      <w:r w:rsidR="00764ADE">
        <w:rPr>
          <w:rFonts w:asciiTheme="majorHAnsi" w:eastAsia="Calibri" w:hAnsiTheme="majorHAnsi" w:cstheme="majorHAnsi"/>
          <w:bCs/>
        </w:rPr>
        <w:t>s</w:t>
      </w:r>
      <w:r w:rsidR="007253F7">
        <w:rPr>
          <w:rFonts w:asciiTheme="majorHAnsi" w:eastAsia="Calibri" w:hAnsiTheme="majorHAnsi" w:cstheme="majorHAnsi"/>
          <w:bCs/>
        </w:rPr>
        <w:t>,</w:t>
      </w:r>
      <w:r w:rsidR="00764ADE">
        <w:rPr>
          <w:rFonts w:asciiTheme="majorHAnsi" w:eastAsia="Calibri" w:hAnsiTheme="majorHAnsi" w:cstheme="majorHAnsi"/>
          <w:bCs/>
        </w:rPr>
        <w:t xml:space="preserve"> construction only happens during colder months due to unstable swamp-like conditions of permafrost when the temperature rises above zero degrees (</w:t>
      </w:r>
      <w:r w:rsidR="00764ADE" w:rsidRPr="00633991">
        <w:rPr>
          <w:rFonts w:asciiTheme="majorHAnsi" w:hAnsiTheme="majorHAnsi" w:cstheme="majorHAnsi"/>
          <w:lang w:val="en-US"/>
        </w:rPr>
        <w:t>Manson</w:t>
      </w:r>
      <w:r w:rsidR="00A73DB8">
        <w:rPr>
          <w:rFonts w:asciiTheme="majorHAnsi" w:hAnsiTheme="majorHAnsi" w:cstheme="majorHAnsi"/>
          <w:lang w:val="en-US"/>
        </w:rPr>
        <w:t>, &amp;</w:t>
      </w:r>
      <w:r w:rsidR="00764ADE" w:rsidRPr="00633991">
        <w:rPr>
          <w:rFonts w:asciiTheme="majorHAnsi" w:hAnsiTheme="majorHAnsi" w:cstheme="majorHAnsi"/>
          <w:lang w:val="en-US"/>
        </w:rPr>
        <w:t xml:space="preserve"> Solomon</w:t>
      </w:r>
      <w:r w:rsidR="007253F7">
        <w:rPr>
          <w:rFonts w:asciiTheme="majorHAnsi" w:hAnsiTheme="majorHAnsi" w:cstheme="majorHAnsi"/>
          <w:lang w:val="en-US"/>
        </w:rPr>
        <w:t>,</w:t>
      </w:r>
      <w:r w:rsidR="00764ADE" w:rsidRPr="00633991">
        <w:rPr>
          <w:rFonts w:asciiTheme="majorHAnsi" w:hAnsiTheme="majorHAnsi" w:cstheme="majorHAnsi"/>
          <w:lang w:val="en-US"/>
        </w:rPr>
        <w:t xml:space="preserve"> 2007).</w:t>
      </w:r>
      <w:r w:rsidR="00764ADE">
        <w:rPr>
          <w:rFonts w:asciiTheme="majorHAnsi" w:hAnsiTheme="majorHAnsi" w:cstheme="majorHAnsi"/>
          <w:lang w:val="en-US"/>
        </w:rPr>
        <w:t xml:space="preserve"> Current environmental estimations </w:t>
      </w:r>
      <w:r w:rsidR="00770730">
        <w:rPr>
          <w:rFonts w:asciiTheme="majorHAnsi" w:hAnsiTheme="majorHAnsi" w:cstheme="majorHAnsi"/>
          <w:lang w:val="en-US"/>
        </w:rPr>
        <w:t>predict that the land of Tuktoyaktuk will be eroded within the next 20 to 30 years.</w:t>
      </w:r>
      <w:r w:rsidR="00897DB8">
        <w:rPr>
          <w:rFonts w:asciiTheme="majorHAnsi" w:hAnsiTheme="majorHAnsi" w:cstheme="majorHAnsi"/>
          <w:lang w:val="en-US"/>
        </w:rPr>
        <w:t xml:space="preserve"> Changes in ice conditions have resulted in the loss of Gull Island, near Tuktoyaktuk, due to a decrease in overall ice, coastal erosion and increased wave action (Waugh et al., 2018). Less ice means less natural protection against destructive waves hitting the shorelines in Tuktoyaktuk and increased susceptibility of flooding</w:t>
      </w:r>
      <w:r w:rsidR="00BC083B">
        <w:rPr>
          <w:rFonts w:asciiTheme="majorHAnsi" w:hAnsiTheme="majorHAnsi" w:cstheme="majorHAnsi"/>
          <w:lang w:val="en-US"/>
        </w:rPr>
        <w:t xml:space="preserve"> </w:t>
      </w:r>
      <w:r w:rsidR="00897DB8">
        <w:rPr>
          <w:rFonts w:asciiTheme="majorHAnsi" w:hAnsiTheme="majorHAnsi" w:cstheme="majorHAnsi"/>
          <w:lang w:val="en-US"/>
        </w:rPr>
        <w:t>(</w:t>
      </w:r>
      <w:proofErr w:type="spellStart"/>
      <w:r w:rsidR="00897DB8">
        <w:rPr>
          <w:rFonts w:asciiTheme="majorHAnsi" w:hAnsiTheme="majorHAnsi" w:cstheme="majorHAnsi"/>
          <w:lang w:val="en-US"/>
        </w:rPr>
        <w:t>Andrachuk</w:t>
      </w:r>
      <w:proofErr w:type="spellEnd"/>
      <w:r w:rsidR="00AC09FD">
        <w:rPr>
          <w:rFonts w:asciiTheme="majorHAnsi" w:hAnsiTheme="majorHAnsi" w:cstheme="majorHAnsi"/>
          <w:lang w:val="en-US"/>
        </w:rPr>
        <w:t>,</w:t>
      </w:r>
      <w:r w:rsidR="00897DB8">
        <w:rPr>
          <w:rFonts w:asciiTheme="majorHAnsi" w:hAnsiTheme="majorHAnsi" w:cstheme="majorHAnsi"/>
          <w:lang w:val="en-US"/>
        </w:rPr>
        <w:t xml:space="preserve"> &amp; Smit, 2012). </w:t>
      </w:r>
      <w:r w:rsidR="00770730">
        <w:rPr>
          <w:rFonts w:asciiTheme="majorHAnsi" w:hAnsiTheme="majorHAnsi" w:cstheme="majorHAnsi"/>
          <w:lang w:val="en-US"/>
        </w:rPr>
        <w:t xml:space="preserve">Long-term ramifications of thawing permafrost </w:t>
      </w:r>
      <w:r w:rsidR="00C53441">
        <w:rPr>
          <w:rFonts w:asciiTheme="majorHAnsi" w:hAnsiTheme="majorHAnsi" w:cstheme="majorHAnsi"/>
          <w:lang w:val="en-US"/>
        </w:rPr>
        <w:t>on the ecosystem are not fully understoo</w:t>
      </w:r>
      <w:r w:rsidR="007253F7">
        <w:rPr>
          <w:rFonts w:asciiTheme="majorHAnsi" w:hAnsiTheme="majorHAnsi" w:cstheme="majorHAnsi"/>
          <w:lang w:val="en-US"/>
        </w:rPr>
        <w:t>d</w:t>
      </w:r>
      <w:r w:rsidR="00AC09FD">
        <w:rPr>
          <w:rFonts w:asciiTheme="majorHAnsi" w:hAnsiTheme="majorHAnsi" w:cstheme="majorHAnsi"/>
          <w:lang w:val="en-US"/>
        </w:rPr>
        <w:t>,</w:t>
      </w:r>
      <w:r w:rsidR="007253F7">
        <w:rPr>
          <w:rFonts w:asciiTheme="majorHAnsi" w:hAnsiTheme="majorHAnsi" w:cstheme="majorHAnsi"/>
          <w:lang w:val="en-US"/>
        </w:rPr>
        <w:t xml:space="preserve"> but the subsequent impacts of ocean acidification, coastal erosion and flooding on marine wildlife are equally concerning for community members due to the continued reliance on traditional hunting for food sources (Manson</w:t>
      </w:r>
      <w:r w:rsidR="00A73DB8">
        <w:rPr>
          <w:rFonts w:asciiTheme="majorHAnsi" w:hAnsiTheme="majorHAnsi" w:cstheme="majorHAnsi"/>
          <w:lang w:val="en-US"/>
        </w:rPr>
        <w:t xml:space="preserve">, &amp; </w:t>
      </w:r>
      <w:r w:rsidR="007253F7">
        <w:rPr>
          <w:rFonts w:asciiTheme="majorHAnsi" w:hAnsiTheme="majorHAnsi" w:cstheme="majorHAnsi"/>
          <w:lang w:val="en-US"/>
        </w:rPr>
        <w:t>Solomon, 2007).</w:t>
      </w:r>
      <w:r w:rsidR="00A840B8">
        <w:rPr>
          <w:rFonts w:asciiTheme="majorHAnsi" w:hAnsiTheme="majorHAnsi" w:cstheme="majorHAnsi"/>
          <w:lang w:val="en-US"/>
        </w:rPr>
        <w:t xml:space="preserve"> As Arctic communities prepare for an unpredictable future, the value of IQ, community ecological knowledge and historical Inuit adaptability will strengthen efforts to navigate the impacts of climate change (The Wainwright Traditional Council, 2011). </w:t>
      </w:r>
    </w:p>
    <w:p w14:paraId="2F75E77A" w14:textId="5C47E2CF" w:rsidR="008E6FB5" w:rsidRPr="00633991" w:rsidRDefault="008E6FB5" w:rsidP="00986AD3">
      <w:pPr>
        <w:adjustRightInd w:val="0"/>
        <w:snapToGrid w:val="0"/>
        <w:spacing w:before="120" w:after="120"/>
        <w:contextualSpacing/>
        <w:rPr>
          <w:rFonts w:asciiTheme="majorHAnsi" w:eastAsia="Calibri" w:hAnsiTheme="majorHAnsi" w:cstheme="majorHAnsi"/>
          <w:bCs/>
        </w:rPr>
      </w:pPr>
    </w:p>
    <w:p w14:paraId="4CD50866" w14:textId="2DE6455B" w:rsidR="008E6FB5" w:rsidRDefault="008E6FB5" w:rsidP="00986AD3">
      <w:pPr>
        <w:adjustRightInd w:val="0"/>
        <w:snapToGrid w:val="0"/>
        <w:spacing w:before="120" w:after="120"/>
        <w:contextualSpacing/>
        <w:rPr>
          <w:rFonts w:asciiTheme="majorHAnsi" w:eastAsia="Calibri" w:hAnsiTheme="majorHAnsi" w:cstheme="majorHAnsi"/>
          <w:b/>
          <w:bCs/>
        </w:rPr>
      </w:pPr>
      <w:r w:rsidRPr="00633991">
        <w:rPr>
          <w:rFonts w:asciiTheme="majorHAnsi" w:eastAsia="Calibri" w:hAnsiTheme="majorHAnsi" w:cstheme="majorHAnsi"/>
          <w:b/>
          <w:bCs/>
        </w:rPr>
        <w:t xml:space="preserve">Tuktoyaktuk Community Response </w:t>
      </w:r>
    </w:p>
    <w:p w14:paraId="75FF7B2A" w14:textId="0BF37777" w:rsidR="00A840B8" w:rsidRDefault="00A840B8" w:rsidP="00986AD3">
      <w:pPr>
        <w:adjustRightInd w:val="0"/>
        <w:snapToGrid w:val="0"/>
        <w:spacing w:before="120" w:after="120"/>
        <w:contextualSpacing/>
        <w:rPr>
          <w:rFonts w:asciiTheme="majorHAnsi" w:eastAsia="Calibri" w:hAnsiTheme="majorHAnsi" w:cstheme="majorHAnsi"/>
          <w:b/>
          <w:bCs/>
        </w:rPr>
      </w:pPr>
    </w:p>
    <w:p w14:paraId="163ADA1D" w14:textId="0D5A897A" w:rsidR="0099286E" w:rsidRDefault="00574B8F" w:rsidP="00986AD3">
      <w:pPr>
        <w:adjustRightInd w:val="0"/>
        <w:snapToGrid w:val="0"/>
        <w:spacing w:before="120" w:after="120"/>
        <w:contextualSpacing/>
        <w:rPr>
          <w:rFonts w:asciiTheme="majorHAnsi" w:eastAsia="Calibri" w:hAnsiTheme="majorHAnsi" w:cstheme="majorHAnsi"/>
          <w:bCs/>
        </w:rPr>
      </w:pPr>
      <w:r>
        <w:rPr>
          <w:rFonts w:asciiTheme="majorHAnsi" w:eastAsia="Calibri" w:hAnsiTheme="majorHAnsi" w:cstheme="majorHAnsi"/>
          <w:bCs/>
        </w:rPr>
        <w:t>The climate crisis and resulting changes will have profound impacts on the livelihood and wellbeing of Arctic communities. How communities will navigate these changes is still unknown</w:t>
      </w:r>
      <w:r w:rsidR="00AC09FD">
        <w:rPr>
          <w:rFonts w:asciiTheme="majorHAnsi" w:eastAsia="Calibri" w:hAnsiTheme="majorHAnsi" w:cstheme="majorHAnsi"/>
          <w:bCs/>
        </w:rPr>
        <w:t>,</w:t>
      </w:r>
      <w:r>
        <w:rPr>
          <w:rFonts w:asciiTheme="majorHAnsi" w:eastAsia="Calibri" w:hAnsiTheme="majorHAnsi" w:cstheme="majorHAnsi"/>
          <w:bCs/>
        </w:rPr>
        <w:t xml:space="preserve"> but Tuktoyaktuk, among others, is taking </w:t>
      </w:r>
      <w:r w:rsidR="00AC09FD">
        <w:rPr>
          <w:rFonts w:asciiTheme="majorHAnsi" w:eastAsia="Calibri" w:hAnsiTheme="majorHAnsi" w:cstheme="majorHAnsi"/>
          <w:bCs/>
        </w:rPr>
        <w:t xml:space="preserve">the </w:t>
      </w:r>
      <w:r>
        <w:rPr>
          <w:rFonts w:asciiTheme="majorHAnsi" w:eastAsia="Calibri" w:hAnsiTheme="majorHAnsi" w:cstheme="majorHAnsi"/>
          <w:bCs/>
        </w:rPr>
        <w:t xml:space="preserve">necessary action to ensure that IQ and Inuit culture is embedded </w:t>
      </w:r>
      <w:r w:rsidR="00AC09FD">
        <w:rPr>
          <w:rFonts w:asciiTheme="majorHAnsi" w:eastAsia="Calibri" w:hAnsiTheme="majorHAnsi" w:cstheme="majorHAnsi"/>
          <w:bCs/>
        </w:rPr>
        <w:t>with</w:t>
      </w:r>
      <w:r>
        <w:rPr>
          <w:rFonts w:asciiTheme="majorHAnsi" w:eastAsia="Calibri" w:hAnsiTheme="majorHAnsi" w:cstheme="majorHAnsi"/>
          <w:bCs/>
        </w:rPr>
        <w:t xml:space="preserve">in projects and policies. </w:t>
      </w:r>
      <w:r w:rsidR="0099286E">
        <w:rPr>
          <w:rFonts w:asciiTheme="majorHAnsi" w:eastAsia="Calibri" w:hAnsiTheme="majorHAnsi" w:cstheme="majorHAnsi"/>
          <w:bCs/>
        </w:rPr>
        <w:t>In 2006, Tuktoyaktuk hosted an Arctic change and coastal communities conference which sought to bring together perspectives from governments, universities and Inuit Peoples to discuss observations of rapid climate change in Arctic coastal areas</w:t>
      </w:r>
      <w:r w:rsidR="00104751">
        <w:rPr>
          <w:rFonts w:asciiTheme="majorHAnsi" w:eastAsia="Calibri" w:hAnsiTheme="majorHAnsi" w:cstheme="majorHAnsi"/>
          <w:bCs/>
        </w:rPr>
        <w:t xml:space="preserve">. </w:t>
      </w:r>
      <w:r w:rsidR="008A04EC">
        <w:rPr>
          <w:rFonts w:asciiTheme="majorHAnsi" w:eastAsia="Calibri" w:hAnsiTheme="majorHAnsi" w:cstheme="majorHAnsi"/>
          <w:bCs/>
        </w:rPr>
        <w:t xml:space="preserve">Attendees of the conference discussed ways to </w:t>
      </w:r>
      <w:r w:rsidR="00104751">
        <w:rPr>
          <w:rFonts w:asciiTheme="majorHAnsi" w:eastAsia="Calibri" w:hAnsiTheme="majorHAnsi" w:cstheme="majorHAnsi"/>
          <w:bCs/>
        </w:rPr>
        <w:t xml:space="preserve">support adaptation to changing landscapes in the </w:t>
      </w:r>
      <w:r w:rsidR="008718C4">
        <w:rPr>
          <w:rFonts w:asciiTheme="majorHAnsi" w:eastAsia="Calibri" w:hAnsiTheme="majorHAnsi" w:cstheme="majorHAnsi"/>
          <w:bCs/>
        </w:rPr>
        <w:t>North</w:t>
      </w:r>
      <w:r w:rsidR="00104751">
        <w:rPr>
          <w:rFonts w:asciiTheme="majorHAnsi" w:eastAsia="Calibri" w:hAnsiTheme="majorHAnsi" w:cstheme="majorHAnsi"/>
          <w:bCs/>
        </w:rPr>
        <w:t xml:space="preserve"> including education for youth, respect for IQ and increased awareness around the climate crisis</w:t>
      </w:r>
      <w:r>
        <w:rPr>
          <w:rFonts w:asciiTheme="majorHAnsi" w:eastAsia="Calibri" w:hAnsiTheme="majorHAnsi" w:cstheme="majorHAnsi"/>
          <w:bCs/>
        </w:rPr>
        <w:t>.</w:t>
      </w:r>
      <w:r w:rsidR="00104751">
        <w:rPr>
          <w:rFonts w:asciiTheme="majorHAnsi" w:eastAsia="Calibri" w:hAnsiTheme="majorHAnsi" w:cstheme="majorHAnsi"/>
          <w:bCs/>
        </w:rPr>
        <w:t xml:space="preserve"> Community representatives highlighted the importance </w:t>
      </w:r>
      <w:r>
        <w:rPr>
          <w:rFonts w:asciiTheme="majorHAnsi" w:eastAsia="Calibri" w:hAnsiTheme="majorHAnsi" w:cstheme="majorHAnsi"/>
          <w:bCs/>
        </w:rPr>
        <w:t xml:space="preserve">of aligning development </w:t>
      </w:r>
      <w:r w:rsidR="00963649">
        <w:rPr>
          <w:rFonts w:asciiTheme="majorHAnsi" w:eastAsia="Calibri" w:hAnsiTheme="majorHAnsi" w:cstheme="majorHAnsi"/>
          <w:bCs/>
        </w:rPr>
        <w:t xml:space="preserve">with </w:t>
      </w:r>
      <w:r>
        <w:rPr>
          <w:rFonts w:asciiTheme="majorHAnsi" w:eastAsia="Calibri" w:hAnsiTheme="majorHAnsi" w:cstheme="majorHAnsi"/>
          <w:bCs/>
        </w:rPr>
        <w:t>Inuit culture</w:t>
      </w:r>
      <w:r w:rsidR="00963649">
        <w:rPr>
          <w:rFonts w:asciiTheme="majorHAnsi" w:eastAsia="Calibri" w:hAnsiTheme="majorHAnsi" w:cstheme="majorHAnsi"/>
          <w:bCs/>
        </w:rPr>
        <w:t xml:space="preserve"> because of the stark difference between Inuit values of </w:t>
      </w:r>
      <w:r w:rsidR="00963649">
        <w:rPr>
          <w:rFonts w:asciiTheme="majorHAnsi" w:eastAsia="Calibri" w:hAnsiTheme="majorHAnsi" w:cstheme="majorHAnsi"/>
          <w:bCs/>
        </w:rPr>
        <w:lastRenderedPageBreak/>
        <w:t xml:space="preserve">connection and collaboration rather than ownership and authorship as in Academic research settings. In order for economic, resource and living development to be effective and sustainable in </w:t>
      </w:r>
      <w:r w:rsidR="008718C4">
        <w:rPr>
          <w:rFonts w:asciiTheme="majorHAnsi" w:eastAsia="Calibri" w:hAnsiTheme="majorHAnsi" w:cstheme="majorHAnsi"/>
          <w:bCs/>
        </w:rPr>
        <w:t>North</w:t>
      </w:r>
      <w:r w:rsidR="00963649">
        <w:rPr>
          <w:rFonts w:asciiTheme="majorHAnsi" w:eastAsia="Calibri" w:hAnsiTheme="majorHAnsi" w:cstheme="majorHAnsi"/>
          <w:bCs/>
        </w:rPr>
        <w:t>ern communities it must be relevant to community-specific local</w:t>
      </w:r>
      <w:r w:rsidR="00AC09FD">
        <w:rPr>
          <w:rFonts w:asciiTheme="majorHAnsi" w:eastAsia="Calibri" w:hAnsiTheme="majorHAnsi" w:cstheme="majorHAnsi"/>
          <w:bCs/>
        </w:rPr>
        <w:t>,</w:t>
      </w:r>
      <w:r w:rsidR="00963649">
        <w:rPr>
          <w:rFonts w:asciiTheme="majorHAnsi" w:eastAsia="Calibri" w:hAnsiTheme="majorHAnsi" w:cstheme="majorHAnsi"/>
          <w:bCs/>
        </w:rPr>
        <w:t xml:space="preserve"> economic</w:t>
      </w:r>
      <w:r w:rsidR="00AC09FD">
        <w:rPr>
          <w:rFonts w:asciiTheme="majorHAnsi" w:eastAsia="Calibri" w:hAnsiTheme="majorHAnsi" w:cstheme="majorHAnsi"/>
          <w:bCs/>
        </w:rPr>
        <w:t>,</w:t>
      </w:r>
      <w:r w:rsidR="00963649">
        <w:rPr>
          <w:rFonts w:asciiTheme="majorHAnsi" w:eastAsia="Calibri" w:hAnsiTheme="majorHAnsi" w:cstheme="majorHAnsi"/>
          <w:bCs/>
        </w:rPr>
        <w:t xml:space="preserve"> and social circumstances </w:t>
      </w:r>
      <w:r>
        <w:rPr>
          <w:rFonts w:asciiTheme="majorHAnsi" w:eastAsia="Calibri" w:hAnsiTheme="majorHAnsi" w:cstheme="majorHAnsi"/>
          <w:bCs/>
        </w:rPr>
        <w:t>(Mathias et al., 2008).</w:t>
      </w:r>
    </w:p>
    <w:p w14:paraId="5D45718A" w14:textId="77777777" w:rsidR="00104751" w:rsidRPr="0099286E" w:rsidRDefault="00104751" w:rsidP="00986AD3">
      <w:pPr>
        <w:adjustRightInd w:val="0"/>
        <w:snapToGrid w:val="0"/>
        <w:spacing w:before="120" w:after="120"/>
        <w:contextualSpacing/>
        <w:rPr>
          <w:rFonts w:asciiTheme="majorHAnsi" w:eastAsia="Calibri" w:hAnsiTheme="majorHAnsi" w:cstheme="majorHAnsi"/>
          <w:bCs/>
        </w:rPr>
      </w:pPr>
    </w:p>
    <w:p w14:paraId="62AD541C" w14:textId="0E5A3AF2" w:rsidR="008E6FB5" w:rsidRDefault="00963649" w:rsidP="00986AD3">
      <w:pPr>
        <w:adjustRightInd w:val="0"/>
        <w:snapToGrid w:val="0"/>
        <w:spacing w:before="120" w:after="120"/>
        <w:contextualSpacing/>
        <w:rPr>
          <w:rFonts w:asciiTheme="majorHAnsi" w:eastAsia="Calibri" w:hAnsiTheme="majorHAnsi" w:cstheme="majorHAnsi"/>
          <w:bCs/>
        </w:rPr>
      </w:pPr>
      <w:r>
        <w:rPr>
          <w:rFonts w:asciiTheme="majorHAnsi" w:eastAsia="Calibri" w:hAnsiTheme="majorHAnsi" w:cstheme="majorHAnsi"/>
          <w:bCs/>
        </w:rPr>
        <w:t xml:space="preserve">The development of the Tuktoyaktuk Community Climate Resilience Project </w:t>
      </w:r>
      <w:r w:rsidR="002B3642">
        <w:rPr>
          <w:rFonts w:asciiTheme="majorHAnsi" w:eastAsia="Calibri" w:hAnsiTheme="majorHAnsi" w:cstheme="majorHAnsi"/>
          <w:bCs/>
        </w:rPr>
        <w:t xml:space="preserve">in 2018 </w:t>
      </w:r>
      <w:r>
        <w:rPr>
          <w:rFonts w:asciiTheme="majorHAnsi" w:eastAsia="Calibri" w:hAnsiTheme="majorHAnsi" w:cstheme="majorHAnsi"/>
          <w:bCs/>
        </w:rPr>
        <w:t xml:space="preserve">was grounded in a desire to ensure community input in climate change efforts. This research program works to address cultural gaps </w:t>
      </w:r>
      <w:r w:rsidR="00757A59">
        <w:rPr>
          <w:rFonts w:asciiTheme="majorHAnsi" w:eastAsia="Calibri" w:hAnsiTheme="majorHAnsi" w:cstheme="majorHAnsi"/>
          <w:bCs/>
        </w:rPr>
        <w:t xml:space="preserve">experienced in </w:t>
      </w:r>
      <w:r>
        <w:rPr>
          <w:rFonts w:asciiTheme="majorHAnsi" w:eastAsia="Calibri" w:hAnsiTheme="majorHAnsi" w:cstheme="majorHAnsi"/>
          <w:bCs/>
        </w:rPr>
        <w:t xml:space="preserve">other projects by employing community members to undertake the </w:t>
      </w:r>
      <w:r w:rsidR="00757A59">
        <w:rPr>
          <w:rFonts w:asciiTheme="majorHAnsi" w:eastAsia="Calibri" w:hAnsiTheme="majorHAnsi" w:cstheme="majorHAnsi"/>
          <w:bCs/>
        </w:rPr>
        <w:t>work</w:t>
      </w:r>
      <w:r>
        <w:rPr>
          <w:rFonts w:asciiTheme="majorHAnsi" w:eastAsia="Calibri" w:hAnsiTheme="majorHAnsi" w:cstheme="majorHAnsi"/>
          <w:bCs/>
        </w:rPr>
        <w:t xml:space="preserve"> </w:t>
      </w:r>
      <w:r w:rsidR="00C90326">
        <w:rPr>
          <w:rFonts w:asciiTheme="majorHAnsi" w:eastAsia="Calibri" w:hAnsiTheme="majorHAnsi" w:cstheme="majorHAnsi"/>
          <w:bCs/>
        </w:rPr>
        <w:t xml:space="preserve">itself </w:t>
      </w:r>
      <w:r>
        <w:rPr>
          <w:rFonts w:asciiTheme="majorHAnsi" w:eastAsia="Calibri" w:hAnsiTheme="majorHAnsi" w:cstheme="majorHAnsi"/>
          <w:bCs/>
        </w:rPr>
        <w:t xml:space="preserve">and </w:t>
      </w:r>
      <w:r w:rsidR="00757A59">
        <w:rPr>
          <w:rFonts w:asciiTheme="majorHAnsi" w:eastAsia="Calibri" w:hAnsiTheme="majorHAnsi" w:cstheme="majorHAnsi"/>
          <w:bCs/>
        </w:rPr>
        <w:t>includ</w:t>
      </w:r>
      <w:r w:rsidR="00AC09FD">
        <w:rPr>
          <w:rFonts w:asciiTheme="majorHAnsi" w:eastAsia="Calibri" w:hAnsiTheme="majorHAnsi" w:cstheme="majorHAnsi"/>
          <w:bCs/>
        </w:rPr>
        <w:t>ing</w:t>
      </w:r>
      <w:r w:rsidR="00757A59">
        <w:rPr>
          <w:rFonts w:asciiTheme="majorHAnsi" w:eastAsia="Calibri" w:hAnsiTheme="majorHAnsi" w:cstheme="majorHAnsi"/>
          <w:bCs/>
        </w:rPr>
        <w:t xml:space="preserve"> IQ in all aspects of the project. </w:t>
      </w:r>
      <w:r w:rsidRPr="00757A59">
        <w:rPr>
          <w:rFonts w:asciiTheme="majorHAnsi" w:eastAsia="Calibri" w:hAnsiTheme="majorHAnsi" w:cstheme="majorHAnsi"/>
          <w:bCs/>
        </w:rPr>
        <w:t>Collaboration with communities</w:t>
      </w:r>
      <w:r w:rsidR="00757A59" w:rsidRPr="00757A59">
        <w:rPr>
          <w:rFonts w:asciiTheme="majorHAnsi" w:eastAsia="Calibri" w:hAnsiTheme="majorHAnsi" w:cstheme="majorHAnsi"/>
          <w:bCs/>
        </w:rPr>
        <w:t xml:space="preserve"> is particularly necessary when identifying impacts of the climate crisis because changes directly impact resident livelihood, and an in-depth knowledge about the history of the land is invaluable in climate comparison research (Pearce, Ford, Caron, &amp; </w:t>
      </w:r>
      <w:proofErr w:type="spellStart"/>
      <w:r w:rsidR="00757A59" w:rsidRPr="00757A59">
        <w:rPr>
          <w:rFonts w:asciiTheme="majorHAnsi" w:eastAsia="Calibri" w:hAnsiTheme="majorHAnsi" w:cstheme="majorHAnsi"/>
          <w:bCs/>
        </w:rPr>
        <w:t>Kudlak</w:t>
      </w:r>
      <w:proofErr w:type="spellEnd"/>
      <w:r w:rsidR="00757A59" w:rsidRPr="00757A59">
        <w:rPr>
          <w:rFonts w:asciiTheme="majorHAnsi" w:eastAsia="Calibri" w:hAnsiTheme="majorHAnsi" w:cstheme="majorHAnsi"/>
          <w:bCs/>
        </w:rPr>
        <w:t>, 2012)</w:t>
      </w:r>
      <w:r w:rsidR="00757A59">
        <w:rPr>
          <w:rFonts w:asciiTheme="majorHAnsi" w:eastAsia="Calibri" w:hAnsiTheme="majorHAnsi" w:cstheme="majorHAnsi"/>
          <w:bCs/>
        </w:rPr>
        <w:t>. Dialogue-focused community engagement is extremely useful in establishing local baselines and generating an understanding of changes (</w:t>
      </w:r>
      <w:proofErr w:type="spellStart"/>
      <w:r w:rsidR="00757A59">
        <w:rPr>
          <w:rFonts w:asciiTheme="majorHAnsi" w:eastAsia="Calibri" w:hAnsiTheme="majorHAnsi" w:cstheme="majorHAnsi"/>
          <w:bCs/>
        </w:rPr>
        <w:t>Furgal</w:t>
      </w:r>
      <w:proofErr w:type="spellEnd"/>
      <w:r w:rsidR="00AC09FD">
        <w:rPr>
          <w:rFonts w:asciiTheme="majorHAnsi" w:eastAsia="Calibri" w:hAnsiTheme="majorHAnsi" w:cstheme="majorHAnsi"/>
          <w:bCs/>
        </w:rPr>
        <w:t>,</w:t>
      </w:r>
      <w:r w:rsidR="00757A59">
        <w:rPr>
          <w:rFonts w:asciiTheme="majorHAnsi" w:eastAsia="Calibri" w:hAnsiTheme="majorHAnsi" w:cstheme="majorHAnsi"/>
          <w:bCs/>
        </w:rPr>
        <w:t xml:space="preserve"> &amp; Seguin, 2006). The Tuktoyaktuk Community Climate Resilience Project measures key climate indicators including ice thickness, harvest yields, bloom dates, permafrost depth, air </w:t>
      </w:r>
      <w:r w:rsidR="002B3642">
        <w:rPr>
          <w:rFonts w:asciiTheme="majorHAnsi" w:eastAsia="Calibri" w:hAnsiTheme="majorHAnsi" w:cstheme="majorHAnsi"/>
          <w:bCs/>
        </w:rPr>
        <w:t>and</w:t>
      </w:r>
      <w:r w:rsidR="00757A59">
        <w:rPr>
          <w:rFonts w:asciiTheme="majorHAnsi" w:eastAsia="Calibri" w:hAnsiTheme="majorHAnsi" w:cstheme="majorHAnsi"/>
          <w:bCs/>
        </w:rPr>
        <w:t xml:space="preserve"> water temperature as well as ice formation and thawing dates. Historical and </w:t>
      </w:r>
      <w:r w:rsidR="00184DC8">
        <w:rPr>
          <w:rFonts w:asciiTheme="majorHAnsi" w:eastAsia="Calibri" w:hAnsiTheme="majorHAnsi" w:cstheme="majorHAnsi"/>
          <w:bCs/>
        </w:rPr>
        <w:t>modern-day</w:t>
      </w:r>
      <w:r w:rsidR="00757A59">
        <w:rPr>
          <w:rFonts w:asciiTheme="majorHAnsi" w:eastAsia="Calibri" w:hAnsiTheme="majorHAnsi" w:cstheme="majorHAnsi"/>
          <w:bCs/>
        </w:rPr>
        <w:t xml:space="preserve"> observations wi</w:t>
      </w:r>
      <w:r w:rsidR="00184DC8">
        <w:rPr>
          <w:rFonts w:asciiTheme="majorHAnsi" w:eastAsia="Calibri" w:hAnsiTheme="majorHAnsi" w:cstheme="majorHAnsi"/>
          <w:bCs/>
        </w:rPr>
        <w:t>ll be collected from elders and other key knowledge holders regarding invasive plants and insects, changes in migration patterns, extreme weather events, traditional harvesting events and observed land changes due to water drying up or erosion. The project also hopes to develop educational resources to use while promoting climate engagement with youth in the community. Both qualitative and quantitative data are crucial for the success of the project</w:t>
      </w:r>
      <w:r w:rsidR="00190143">
        <w:rPr>
          <w:rFonts w:asciiTheme="majorHAnsi" w:eastAsia="Calibri" w:hAnsiTheme="majorHAnsi" w:cstheme="majorHAnsi"/>
          <w:bCs/>
        </w:rPr>
        <w:t>.</w:t>
      </w:r>
      <w:r w:rsidR="00184DC8">
        <w:rPr>
          <w:rFonts w:asciiTheme="majorHAnsi" w:eastAsia="Calibri" w:hAnsiTheme="majorHAnsi" w:cstheme="majorHAnsi"/>
          <w:bCs/>
        </w:rPr>
        <w:t xml:space="preserve"> </w:t>
      </w:r>
      <w:r w:rsidR="00190143">
        <w:rPr>
          <w:rFonts w:asciiTheme="majorHAnsi" w:eastAsia="Calibri" w:hAnsiTheme="majorHAnsi" w:cstheme="majorHAnsi"/>
          <w:bCs/>
        </w:rPr>
        <w:t>D</w:t>
      </w:r>
      <w:r w:rsidR="00184DC8">
        <w:rPr>
          <w:rFonts w:asciiTheme="majorHAnsi" w:eastAsia="Calibri" w:hAnsiTheme="majorHAnsi" w:cstheme="majorHAnsi"/>
          <w:bCs/>
        </w:rPr>
        <w:t>ata collection includes: interviews, quantitative indicator measurements and samples, reviews of historical information and community engagement and feedback at local events. Directly engaging youth and elders in interviews supports intergenerational sharing and knowledge transfer and ensures youth are educated on the adaptability of their ancestors. Project developers hope to develop novel ways to present findings in a powerful way to share within and outside of the community</w:t>
      </w:r>
      <w:r w:rsidR="002B3642">
        <w:rPr>
          <w:rFonts w:asciiTheme="majorHAnsi" w:eastAsia="Calibri" w:hAnsiTheme="majorHAnsi" w:cstheme="majorHAnsi"/>
          <w:bCs/>
        </w:rPr>
        <w:t xml:space="preserve"> </w:t>
      </w:r>
      <w:r>
        <w:rPr>
          <w:rFonts w:asciiTheme="majorHAnsi" w:hAnsiTheme="majorHAnsi" w:cstheme="majorHAnsi"/>
          <w:iCs/>
          <w:lang w:val="en-US"/>
        </w:rPr>
        <w:t>(Tuktoyaktuk Community Corporation, 2018)</w:t>
      </w:r>
      <w:r w:rsidR="002B3642">
        <w:rPr>
          <w:rFonts w:asciiTheme="majorHAnsi" w:hAnsiTheme="majorHAnsi" w:cstheme="majorHAnsi"/>
          <w:iCs/>
          <w:lang w:val="en-US"/>
        </w:rPr>
        <w:t xml:space="preserve">. </w:t>
      </w:r>
    </w:p>
    <w:p w14:paraId="12E7BAAE" w14:textId="77777777" w:rsidR="00184DC8" w:rsidRPr="00184DC8" w:rsidRDefault="00184DC8" w:rsidP="00986AD3">
      <w:pPr>
        <w:adjustRightInd w:val="0"/>
        <w:snapToGrid w:val="0"/>
        <w:spacing w:before="120" w:after="120"/>
        <w:contextualSpacing/>
        <w:rPr>
          <w:rFonts w:asciiTheme="majorHAnsi" w:eastAsia="Calibri" w:hAnsiTheme="majorHAnsi" w:cstheme="majorHAnsi"/>
          <w:bCs/>
        </w:rPr>
      </w:pPr>
    </w:p>
    <w:p w14:paraId="78F2451D" w14:textId="75344F4F" w:rsidR="005668D4" w:rsidRDefault="008E6FB5" w:rsidP="00986AD3">
      <w:pPr>
        <w:adjustRightInd w:val="0"/>
        <w:snapToGrid w:val="0"/>
        <w:spacing w:before="120" w:after="120"/>
        <w:contextualSpacing/>
        <w:rPr>
          <w:rFonts w:asciiTheme="majorHAnsi" w:eastAsia="Calibri" w:hAnsiTheme="majorHAnsi" w:cstheme="majorHAnsi"/>
          <w:b/>
          <w:bCs/>
        </w:rPr>
      </w:pPr>
      <w:r w:rsidRPr="00633991">
        <w:rPr>
          <w:rFonts w:asciiTheme="majorHAnsi" w:eastAsia="Calibri" w:hAnsiTheme="majorHAnsi" w:cstheme="majorHAnsi"/>
          <w:b/>
          <w:bCs/>
        </w:rPr>
        <w:t>Conclusion</w:t>
      </w:r>
    </w:p>
    <w:p w14:paraId="41568767" w14:textId="77777777" w:rsidR="00D95930" w:rsidRDefault="00D95930" w:rsidP="00D95930">
      <w:pPr>
        <w:adjustRightInd w:val="0"/>
        <w:snapToGrid w:val="0"/>
        <w:spacing w:before="120" w:after="120"/>
        <w:contextualSpacing/>
        <w:rPr>
          <w:rFonts w:ascii="Calibri" w:eastAsia="Calibri" w:hAnsi="Calibri" w:cs="Times New Roman"/>
          <w:bCs/>
        </w:rPr>
      </w:pPr>
    </w:p>
    <w:p w14:paraId="1C1D9F60" w14:textId="54DA56B4" w:rsidR="00597DA9" w:rsidRPr="00A73DB8" w:rsidRDefault="00D95930" w:rsidP="00D95930">
      <w:pPr>
        <w:adjustRightInd w:val="0"/>
        <w:snapToGrid w:val="0"/>
        <w:spacing w:before="120" w:after="120"/>
        <w:contextualSpacing/>
        <w:rPr>
          <w:rFonts w:asciiTheme="majorHAnsi" w:eastAsia="Calibri" w:hAnsiTheme="majorHAnsi" w:cstheme="majorHAnsi"/>
          <w:bCs/>
        </w:rPr>
      </w:pPr>
      <w:r w:rsidRPr="00D95930">
        <w:rPr>
          <w:rFonts w:asciiTheme="majorHAnsi" w:eastAsia="Calibri" w:hAnsiTheme="majorHAnsi" w:cstheme="majorHAnsi"/>
          <w:bCs/>
        </w:rPr>
        <w:t xml:space="preserve">This paper has </w:t>
      </w:r>
      <w:r>
        <w:rPr>
          <w:rFonts w:asciiTheme="majorHAnsi" w:eastAsia="Calibri" w:hAnsiTheme="majorHAnsi" w:cstheme="majorHAnsi"/>
          <w:bCs/>
        </w:rPr>
        <w:t>discussed</w:t>
      </w:r>
      <w:r w:rsidRPr="00D95930">
        <w:rPr>
          <w:rFonts w:asciiTheme="majorHAnsi" w:eastAsia="Calibri" w:hAnsiTheme="majorHAnsi" w:cstheme="majorHAnsi"/>
          <w:bCs/>
        </w:rPr>
        <w:t xml:space="preserve"> the ways in which </w:t>
      </w:r>
      <w:r>
        <w:rPr>
          <w:rFonts w:asciiTheme="majorHAnsi" w:eastAsia="Calibri" w:hAnsiTheme="majorHAnsi" w:cstheme="majorHAnsi"/>
          <w:bCs/>
        </w:rPr>
        <w:t>climate change</w:t>
      </w:r>
      <w:r w:rsidRPr="00D95930">
        <w:rPr>
          <w:rFonts w:asciiTheme="majorHAnsi" w:eastAsia="Calibri" w:hAnsiTheme="majorHAnsi" w:cstheme="majorHAnsi"/>
          <w:bCs/>
        </w:rPr>
        <w:t xml:space="preserve"> is </w:t>
      </w:r>
      <w:r>
        <w:rPr>
          <w:rFonts w:asciiTheme="majorHAnsi" w:eastAsia="Calibri" w:hAnsiTheme="majorHAnsi" w:cstheme="majorHAnsi"/>
          <w:bCs/>
        </w:rPr>
        <w:t>disrupting</w:t>
      </w:r>
      <w:r w:rsidRPr="00D95930">
        <w:rPr>
          <w:rFonts w:asciiTheme="majorHAnsi" w:eastAsia="Calibri" w:hAnsiTheme="majorHAnsi" w:cstheme="majorHAnsi"/>
          <w:bCs/>
        </w:rPr>
        <w:t xml:space="preserve"> the ability of </w:t>
      </w:r>
      <w:r>
        <w:rPr>
          <w:rFonts w:asciiTheme="majorHAnsi" w:eastAsia="Calibri" w:hAnsiTheme="majorHAnsi" w:cstheme="majorHAnsi"/>
          <w:bCs/>
        </w:rPr>
        <w:t>the Tuktoyaktuk</w:t>
      </w:r>
      <w:r w:rsidRPr="00D95930">
        <w:rPr>
          <w:rFonts w:asciiTheme="majorHAnsi" w:eastAsia="Calibri" w:hAnsiTheme="majorHAnsi" w:cstheme="majorHAnsi"/>
          <w:bCs/>
        </w:rPr>
        <w:t xml:space="preserve"> </w:t>
      </w:r>
      <w:r>
        <w:rPr>
          <w:rFonts w:asciiTheme="majorHAnsi" w:eastAsia="Calibri" w:hAnsiTheme="majorHAnsi" w:cstheme="majorHAnsi"/>
          <w:bCs/>
        </w:rPr>
        <w:t xml:space="preserve">community </w:t>
      </w:r>
      <w:r w:rsidRPr="00D95930">
        <w:rPr>
          <w:rFonts w:asciiTheme="majorHAnsi" w:eastAsia="Calibri" w:hAnsiTheme="majorHAnsi" w:cstheme="majorHAnsi"/>
          <w:bCs/>
        </w:rPr>
        <w:t>to rely on traditional food sources</w:t>
      </w:r>
      <w:r>
        <w:rPr>
          <w:rFonts w:asciiTheme="majorHAnsi" w:eastAsia="Calibri" w:hAnsiTheme="majorHAnsi" w:cstheme="majorHAnsi"/>
          <w:bCs/>
        </w:rPr>
        <w:t xml:space="preserve">, </w:t>
      </w:r>
      <w:r w:rsidRPr="00D95930">
        <w:rPr>
          <w:rFonts w:asciiTheme="majorHAnsi" w:eastAsia="Calibri" w:hAnsiTheme="majorHAnsi" w:cstheme="majorHAnsi"/>
          <w:bCs/>
        </w:rPr>
        <w:t xml:space="preserve">sustain IFS efforts </w:t>
      </w:r>
      <w:r>
        <w:rPr>
          <w:rFonts w:asciiTheme="majorHAnsi" w:eastAsia="Calibri" w:hAnsiTheme="majorHAnsi" w:cstheme="majorHAnsi"/>
          <w:bCs/>
        </w:rPr>
        <w:t>and</w:t>
      </w:r>
      <w:r w:rsidRPr="00D95930">
        <w:rPr>
          <w:rFonts w:asciiTheme="majorHAnsi" w:eastAsia="Calibri" w:hAnsiTheme="majorHAnsi" w:cstheme="majorHAnsi"/>
          <w:bCs/>
        </w:rPr>
        <w:t xml:space="preserve"> </w:t>
      </w:r>
      <w:r w:rsidR="00190143">
        <w:rPr>
          <w:rFonts w:asciiTheme="majorHAnsi" w:eastAsia="Calibri" w:hAnsiTheme="majorHAnsi" w:cstheme="majorHAnsi"/>
          <w:bCs/>
        </w:rPr>
        <w:t xml:space="preserve">the </w:t>
      </w:r>
      <w:r w:rsidRPr="00D95930">
        <w:rPr>
          <w:rFonts w:asciiTheme="majorHAnsi" w:eastAsia="Calibri" w:hAnsiTheme="majorHAnsi" w:cstheme="majorHAnsi"/>
          <w:bCs/>
        </w:rPr>
        <w:t>communit</w:t>
      </w:r>
      <w:r>
        <w:rPr>
          <w:rFonts w:asciiTheme="majorHAnsi" w:eastAsia="Calibri" w:hAnsiTheme="majorHAnsi" w:cstheme="majorHAnsi"/>
          <w:bCs/>
        </w:rPr>
        <w:t xml:space="preserve">y </w:t>
      </w:r>
      <w:r w:rsidRPr="00D95930">
        <w:rPr>
          <w:rFonts w:asciiTheme="majorHAnsi" w:eastAsia="Calibri" w:hAnsiTheme="majorHAnsi" w:cstheme="majorHAnsi"/>
          <w:bCs/>
        </w:rPr>
        <w:t xml:space="preserve">response to their changing environment thus far. As the ramifications of the climate crisis continue to impact the community, traditional food sources will become increasingly unavailable, affecting not only the health but the wellbeing of the community due to the intrinsic link between the health of the land and of </w:t>
      </w:r>
      <w:r>
        <w:rPr>
          <w:rFonts w:asciiTheme="majorHAnsi" w:eastAsia="Calibri" w:hAnsiTheme="majorHAnsi" w:cstheme="majorHAnsi"/>
          <w:bCs/>
        </w:rPr>
        <w:t>Tuktoyaktuk’s residents</w:t>
      </w:r>
      <w:r w:rsidRPr="00D95930">
        <w:rPr>
          <w:rFonts w:asciiTheme="majorHAnsi" w:eastAsia="Calibri" w:hAnsiTheme="majorHAnsi" w:cstheme="majorHAnsi"/>
          <w:bCs/>
        </w:rPr>
        <w:t xml:space="preserve">. </w:t>
      </w:r>
      <w:r>
        <w:rPr>
          <w:rFonts w:asciiTheme="majorHAnsi" w:eastAsia="Calibri" w:hAnsiTheme="majorHAnsi" w:cstheme="majorHAnsi"/>
          <w:bCs/>
        </w:rPr>
        <w:t>Tuktoyaktuk</w:t>
      </w:r>
      <w:r w:rsidRPr="00D95930">
        <w:rPr>
          <w:rFonts w:asciiTheme="majorHAnsi" w:eastAsia="Calibri" w:hAnsiTheme="majorHAnsi" w:cstheme="majorHAnsi"/>
          <w:bCs/>
        </w:rPr>
        <w:t xml:space="preserve"> is taking steps to increase the </w:t>
      </w:r>
      <w:r>
        <w:rPr>
          <w:rFonts w:asciiTheme="majorHAnsi" w:eastAsia="Calibri" w:hAnsiTheme="majorHAnsi" w:cstheme="majorHAnsi"/>
          <w:bCs/>
        </w:rPr>
        <w:t xml:space="preserve">focus of environmental needs </w:t>
      </w:r>
      <w:r w:rsidRPr="00D95930">
        <w:rPr>
          <w:rFonts w:asciiTheme="majorHAnsi" w:eastAsia="Calibri" w:hAnsiTheme="majorHAnsi" w:cstheme="majorHAnsi"/>
          <w:bCs/>
        </w:rPr>
        <w:t xml:space="preserve">in the community, which will </w:t>
      </w:r>
      <w:r>
        <w:rPr>
          <w:rFonts w:asciiTheme="majorHAnsi" w:eastAsia="Calibri" w:hAnsiTheme="majorHAnsi" w:cstheme="majorHAnsi"/>
          <w:bCs/>
        </w:rPr>
        <w:t>hopefully provide a path forwards for the community</w:t>
      </w:r>
      <w:r w:rsidRPr="00D95930">
        <w:rPr>
          <w:rFonts w:asciiTheme="majorHAnsi" w:eastAsia="Calibri" w:hAnsiTheme="majorHAnsi" w:cstheme="majorHAnsi"/>
          <w:bCs/>
        </w:rPr>
        <w:t xml:space="preserve">; </w:t>
      </w:r>
      <w:r>
        <w:rPr>
          <w:rFonts w:asciiTheme="majorHAnsi" w:eastAsia="Calibri" w:hAnsiTheme="majorHAnsi" w:cstheme="majorHAnsi"/>
          <w:bCs/>
        </w:rPr>
        <w:t xml:space="preserve">monitoring </w:t>
      </w:r>
      <w:r w:rsidR="002B3642">
        <w:rPr>
          <w:rFonts w:asciiTheme="majorHAnsi" w:eastAsia="Calibri" w:hAnsiTheme="majorHAnsi" w:cstheme="majorHAnsi"/>
          <w:bCs/>
        </w:rPr>
        <w:t xml:space="preserve">the </w:t>
      </w:r>
      <w:r>
        <w:rPr>
          <w:rFonts w:asciiTheme="majorHAnsi" w:eastAsia="Calibri" w:hAnsiTheme="majorHAnsi" w:cstheme="majorHAnsi"/>
          <w:bCs/>
        </w:rPr>
        <w:t>environment</w:t>
      </w:r>
      <w:r w:rsidR="002B3642">
        <w:rPr>
          <w:rFonts w:asciiTheme="majorHAnsi" w:eastAsia="Calibri" w:hAnsiTheme="majorHAnsi" w:cstheme="majorHAnsi"/>
          <w:bCs/>
        </w:rPr>
        <w:t>,</w:t>
      </w:r>
      <w:r>
        <w:rPr>
          <w:rFonts w:asciiTheme="majorHAnsi" w:eastAsia="Calibri" w:hAnsiTheme="majorHAnsi" w:cstheme="majorHAnsi"/>
          <w:bCs/>
        </w:rPr>
        <w:t xml:space="preserve"> wildlife changes and migrations are </w:t>
      </w:r>
      <w:r w:rsidR="002B3642">
        <w:rPr>
          <w:rFonts w:asciiTheme="majorHAnsi" w:eastAsia="Calibri" w:hAnsiTheme="majorHAnsi" w:cstheme="majorHAnsi"/>
          <w:bCs/>
        </w:rPr>
        <w:t xml:space="preserve">all </w:t>
      </w:r>
      <w:r>
        <w:rPr>
          <w:rFonts w:asciiTheme="majorHAnsi" w:eastAsia="Calibri" w:hAnsiTheme="majorHAnsi" w:cstheme="majorHAnsi"/>
          <w:bCs/>
        </w:rPr>
        <w:t xml:space="preserve">of community-identified importance. Involvement in the </w:t>
      </w:r>
      <w:r w:rsidRPr="00190143">
        <w:rPr>
          <w:rFonts w:asciiTheme="majorHAnsi" w:eastAsia="Calibri" w:hAnsiTheme="majorHAnsi" w:cstheme="majorHAnsi"/>
          <w:bCs/>
          <w:i/>
        </w:rPr>
        <w:t>Four Stories About Food Sovereignty</w:t>
      </w:r>
      <w:r>
        <w:rPr>
          <w:rFonts w:asciiTheme="majorHAnsi" w:eastAsia="Calibri" w:hAnsiTheme="majorHAnsi" w:cstheme="majorHAnsi"/>
          <w:bCs/>
        </w:rPr>
        <w:t xml:space="preserve"> project will enable the community to share their struggles with other communities, collaborate with Indigenous communities around the globe</w:t>
      </w:r>
      <w:r w:rsidR="00190143">
        <w:rPr>
          <w:rFonts w:asciiTheme="majorHAnsi" w:eastAsia="Calibri" w:hAnsiTheme="majorHAnsi" w:cstheme="majorHAnsi"/>
          <w:bCs/>
        </w:rPr>
        <w:t xml:space="preserve"> </w:t>
      </w:r>
      <w:r>
        <w:rPr>
          <w:rFonts w:asciiTheme="majorHAnsi" w:eastAsia="Calibri" w:hAnsiTheme="majorHAnsi" w:cstheme="majorHAnsi"/>
          <w:bCs/>
        </w:rPr>
        <w:t xml:space="preserve">and help them navigate a </w:t>
      </w:r>
      <w:bookmarkStart w:id="0" w:name="_GoBack"/>
      <w:bookmarkEnd w:id="0"/>
      <w:r>
        <w:rPr>
          <w:rFonts w:asciiTheme="majorHAnsi" w:eastAsia="Calibri" w:hAnsiTheme="majorHAnsi" w:cstheme="majorHAnsi"/>
          <w:bCs/>
        </w:rPr>
        <w:t>way forwa</w:t>
      </w:r>
      <w:r w:rsidR="00A73DB8">
        <w:rPr>
          <w:rFonts w:asciiTheme="majorHAnsi" w:eastAsia="Calibri" w:hAnsiTheme="majorHAnsi" w:cstheme="majorHAnsi"/>
          <w:bCs/>
        </w:rPr>
        <w:t xml:space="preserve">rd. </w:t>
      </w:r>
    </w:p>
    <w:p w14:paraId="5D211239" w14:textId="77777777" w:rsidR="00190143" w:rsidRDefault="00190143" w:rsidP="00986AD3">
      <w:pPr>
        <w:adjustRightInd w:val="0"/>
        <w:snapToGrid w:val="0"/>
        <w:spacing w:before="120" w:after="120"/>
        <w:contextualSpacing/>
        <w:jc w:val="center"/>
        <w:rPr>
          <w:rFonts w:asciiTheme="majorHAnsi" w:eastAsia="Calibri" w:hAnsiTheme="majorHAnsi" w:cstheme="majorHAnsi"/>
          <w:b/>
          <w:bCs/>
        </w:rPr>
      </w:pPr>
    </w:p>
    <w:p w14:paraId="1A670FD7" w14:textId="77777777" w:rsidR="00190143" w:rsidRDefault="00190143" w:rsidP="00986AD3">
      <w:pPr>
        <w:adjustRightInd w:val="0"/>
        <w:snapToGrid w:val="0"/>
        <w:spacing w:before="120" w:after="120"/>
        <w:contextualSpacing/>
        <w:jc w:val="center"/>
        <w:rPr>
          <w:rFonts w:asciiTheme="majorHAnsi" w:eastAsia="Calibri" w:hAnsiTheme="majorHAnsi" w:cstheme="majorHAnsi"/>
          <w:b/>
          <w:bCs/>
        </w:rPr>
      </w:pPr>
    </w:p>
    <w:p w14:paraId="73880B27" w14:textId="58C50BEB" w:rsidR="000E1DFC" w:rsidRDefault="000E1DFC" w:rsidP="00986AD3">
      <w:pPr>
        <w:adjustRightInd w:val="0"/>
        <w:snapToGrid w:val="0"/>
        <w:spacing w:before="120" w:after="120"/>
        <w:contextualSpacing/>
        <w:jc w:val="center"/>
        <w:rPr>
          <w:rFonts w:asciiTheme="majorHAnsi" w:eastAsia="Calibri" w:hAnsiTheme="majorHAnsi" w:cstheme="majorHAnsi"/>
          <w:b/>
          <w:bCs/>
        </w:rPr>
      </w:pPr>
      <w:r w:rsidRPr="00633991">
        <w:rPr>
          <w:rFonts w:asciiTheme="majorHAnsi" w:eastAsia="Calibri" w:hAnsiTheme="majorHAnsi" w:cstheme="majorHAnsi"/>
          <w:b/>
          <w:bCs/>
        </w:rPr>
        <w:lastRenderedPageBreak/>
        <w:t xml:space="preserve">References </w:t>
      </w:r>
    </w:p>
    <w:p w14:paraId="75A0ACE5" w14:textId="77777777" w:rsidR="00664E6C" w:rsidRDefault="00664E6C" w:rsidP="00664E6C">
      <w:pPr>
        <w:autoSpaceDE w:val="0"/>
        <w:autoSpaceDN w:val="0"/>
        <w:adjustRightInd w:val="0"/>
        <w:contextualSpacing/>
        <w:rPr>
          <w:rFonts w:asciiTheme="majorHAnsi" w:hAnsiTheme="majorHAnsi" w:cstheme="majorHAnsi"/>
          <w:lang w:val="en-US"/>
        </w:rPr>
      </w:pPr>
    </w:p>
    <w:p w14:paraId="4B2ADF35" w14:textId="77777777" w:rsidR="00664E6C" w:rsidRDefault="00664E6C" w:rsidP="00664E6C">
      <w:pPr>
        <w:autoSpaceDE w:val="0"/>
        <w:autoSpaceDN w:val="0"/>
        <w:adjustRightInd w:val="0"/>
        <w:ind w:left="720" w:hanging="720"/>
        <w:contextualSpacing/>
        <w:rPr>
          <w:rFonts w:asciiTheme="majorHAnsi" w:hAnsiTheme="majorHAnsi" w:cstheme="majorHAnsi"/>
        </w:rPr>
      </w:pPr>
      <w:proofErr w:type="spellStart"/>
      <w:r w:rsidRPr="00664E6C">
        <w:rPr>
          <w:rFonts w:asciiTheme="majorHAnsi" w:hAnsiTheme="majorHAnsi" w:cstheme="majorHAnsi"/>
        </w:rPr>
        <w:t>Alunik</w:t>
      </w:r>
      <w:proofErr w:type="spellEnd"/>
      <w:r w:rsidRPr="00664E6C">
        <w:rPr>
          <w:rFonts w:asciiTheme="majorHAnsi" w:hAnsiTheme="majorHAnsi" w:cstheme="majorHAnsi"/>
        </w:rPr>
        <w:t xml:space="preserve">, I., </w:t>
      </w:r>
      <w:proofErr w:type="spellStart"/>
      <w:r w:rsidRPr="00664E6C">
        <w:rPr>
          <w:rFonts w:asciiTheme="majorHAnsi" w:hAnsiTheme="majorHAnsi" w:cstheme="majorHAnsi"/>
        </w:rPr>
        <w:t>Kolausok</w:t>
      </w:r>
      <w:proofErr w:type="spellEnd"/>
      <w:r w:rsidRPr="00664E6C">
        <w:rPr>
          <w:rFonts w:asciiTheme="majorHAnsi" w:hAnsiTheme="majorHAnsi" w:cstheme="majorHAnsi"/>
        </w:rPr>
        <w:t>, E., &amp; Morrison, D. (2003). </w:t>
      </w:r>
      <w:r w:rsidRPr="00664E6C">
        <w:rPr>
          <w:rFonts w:asciiTheme="majorHAnsi" w:hAnsiTheme="majorHAnsi" w:cstheme="majorHAnsi"/>
          <w:i/>
          <w:iCs/>
        </w:rPr>
        <w:t>Across time and tundra</w:t>
      </w:r>
      <w:r w:rsidRPr="00664E6C">
        <w:rPr>
          <w:rFonts w:asciiTheme="majorHAnsi" w:hAnsiTheme="majorHAnsi" w:cstheme="majorHAnsi"/>
        </w:rPr>
        <w:t>. Vancouver: Seattle.</w:t>
      </w:r>
    </w:p>
    <w:p w14:paraId="1517945E" w14:textId="77777777" w:rsidR="00664E6C" w:rsidRDefault="00664E6C" w:rsidP="00664E6C">
      <w:pPr>
        <w:autoSpaceDE w:val="0"/>
        <w:autoSpaceDN w:val="0"/>
        <w:adjustRightInd w:val="0"/>
        <w:ind w:left="720" w:hanging="720"/>
        <w:contextualSpacing/>
        <w:rPr>
          <w:rFonts w:asciiTheme="majorHAnsi" w:hAnsiTheme="majorHAnsi" w:cstheme="majorHAnsi"/>
          <w:lang w:val="en-US"/>
        </w:rPr>
      </w:pPr>
    </w:p>
    <w:p w14:paraId="423852CC" w14:textId="46C1D510" w:rsidR="00426F82" w:rsidRPr="00664E6C" w:rsidRDefault="00426F82" w:rsidP="00664E6C">
      <w:pPr>
        <w:autoSpaceDE w:val="0"/>
        <w:autoSpaceDN w:val="0"/>
        <w:adjustRightInd w:val="0"/>
        <w:ind w:left="720" w:hanging="720"/>
        <w:contextualSpacing/>
        <w:rPr>
          <w:rFonts w:asciiTheme="majorHAnsi" w:hAnsiTheme="majorHAnsi" w:cstheme="majorHAnsi"/>
        </w:rPr>
      </w:pPr>
      <w:proofErr w:type="spellStart"/>
      <w:r w:rsidRPr="005668D4">
        <w:rPr>
          <w:rFonts w:asciiTheme="majorHAnsi" w:hAnsiTheme="majorHAnsi" w:cstheme="majorHAnsi"/>
          <w:lang w:val="en-US"/>
        </w:rPr>
        <w:t>Andrachuk</w:t>
      </w:r>
      <w:proofErr w:type="spellEnd"/>
      <w:r w:rsidRPr="005668D4">
        <w:rPr>
          <w:rFonts w:asciiTheme="majorHAnsi" w:hAnsiTheme="majorHAnsi" w:cstheme="majorHAnsi"/>
          <w:lang w:val="en-US"/>
        </w:rPr>
        <w:t xml:space="preserve">, M., &amp; Smit, B. (2012). Community-based vulnerability assessment of Tuktoyaktuk, NWT, Canada to environmental and socio-economic changes. </w:t>
      </w:r>
      <w:r w:rsidRPr="005668D4">
        <w:rPr>
          <w:rFonts w:asciiTheme="majorHAnsi" w:hAnsiTheme="majorHAnsi" w:cstheme="majorHAnsi"/>
          <w:i/>
          <w:iCs/>
          <w:lang w:val="en-US"/>
        </w:rPr>
        <w:t>Regional Environmental Change</w:t>
      </w:r>
      <w:r w:rsidRPr="005668D4">
        <w:rPr>
          <w:rFonts w:asciiTheme="majorHAnsi" w:hAnsiTheme="majorHAnsi" w:cstheme="majorHAnsi"/>
          <w:lang w:val="en-US"/>
        </w:rPr>
        <w:t xml:space="preserve">, </w:t>
      </w:r>
      <w:r w:rsidRPr="005668D4">
        <w:rPr>
          <w:rFonts w:asciiTheme="majorHAnsi" w:hAnsiTheme="majorHAnsi" w:cstheme="majorHAnsi"/>
          <w:i/>
          <w:iCs/>
          <w:lang w:val="en-US"/>
        </w:rPr>
        <w:t>12</w:t>
      </w:r>
      <w:r w:rsidRPr="005668D4">
        <w:rPr>
          <w:rFonts w:asciiTheme="majorHAnsi" w:hAnsiTheme="majorHAnsi" w:cstheme="majorHAnsi"/>
          <w:lang w:val="en-US"/>
        </w:rPr>
        <w:t xml:space="preserve">(4), 867–885. </w:t>
      </w:r>
      <w:hyperlink r:id="rId5" w:history="1">
        <w:r w:rsidR="00AB49AE" w:rsidRPr="00255120">
          <w:rPr>
            <w:rStyle w:val="Hyperlink"/>
            <w:rFonts w:asciiTheme="majorHAnsi" w:hAnsiTheme="majorHAnsi" w:cstheme="majorHAnsi"/>
            <w:lang w:val="en-US"/>
          </w:rPr>
          <w:t>https://doi.org/10.1007/s10113-012-0299-0</w:t>
        </w:r>
      </w:hyperlink>
      <w:r w:rsidR="00AB49AE">
        <w:rPr>
          <w:rFonts w:asciiTheme="majorHAnsi" w:hAnsiTheme="majorHAnsi" w:cstheme="majorHAnsi"/>
          <w:color w:val="000000" w:themeColor="text1"/>
          <w:lang w:val="en-US"/>
        </w:rPr>
        <w:t xml:space="preserve"> </w:t>
      </w:r>
    </w:p>
    <w:p w14:paraId="0E327ED4" w14:textId="77777777" w:rsidR="00426F82" w:rsidRPr="005668D4" w:rsidRDefault="00426F82" w:rsidP="00986AD3">
      <w:pPr>
        <w:autoSpaceDE w:val="0"/>
        <w:autoSpaceDN w:val="0"/>
        <w:adjustRightInd w:val="0"/>
        <w:ind w:left="720" w:hanging="720"/>
        <w:contextualSpacing/>
        <w:rPr>
          <w:rFonts w:asciiTheme="majorHAnsi" w:hAnsiTheme="majorHAnsi" w:cstheme="majorHAnsi"/>
          <w:lang w:val="en-US"/>
        </w:rPr>
      </w:pPr>
    </w:p>
    <w:p w14:paraId="600EB7B4" w14:textId="4D715B8C" w:rsidR="00F50626" w:rsidRDefault="00F50626" w:rsidP="00986AD3">
      <w:pPr>
        <w:ind w:left="720" w:hanging="720"/>
        <w:contextualSpacing/>
        <w:rPr>
          <w:rFonts w:asciiTheme="majorHAnsi" w:eastAsia="Times New Roman" w:hAnsiTheme="majorHAnsi" w:cstheme="majorHAnsi"/>
          <w:color w:val="000000"/>
        </w:rPr>
      </w:pPr>
      <w:proofErr w:type="spellStart"/>
      <w:r w:rsidRPr="005668D4">
        <w:rPr>
          <w:rFonts w:asciiTheme="majorHAnsi" w:eastAsia="Times New Roman" w:hAnsiTheme="majorHAnsi" w:cstheme="majorHAnsi"/>
          <w:color w:val="000000"/>
        </w:rPr>
        <w:t>Beaumier</w:t>
      </w:r>
      <w:proofErr w:type="spellEnd"/>
      <w:r w:rsidRPr="005668D4">
        <w:rPr>
          <w:rFonts w:asciiTheme="majorHAnsi" w:eastAsia="Times New Roman" w:hAnsiTheme="majorHAnsi" w:cstheme="majorHAnsi"/>
          <w:color w:val="000000"/>
        </w:rPr>
        <w:t xml:space="preserve">, M., &amp; Ford, J. (2010). Food Insecurity among Inuit Women Exacerbated by Socioeconomic Stresses and Climate Change. Canadian Journal of Public Health, 101(3), 196–201. </w:t>
      </w:r>
      <w:hyperlink r:id="rId6" w:history="1">
        <w:r w:rsidR="00AB49AE" w:rsidRPr="00255120">
          <w:rPr>
            <w:rStyle w:val="Hyperlink"/>
            <w:rFonts w:asciiTheme="majorHAnsi" w:eastAsia="Times New Roman" w:hAnsiTheme="majorHAnsi" w:cstheme="majorHAnsi"/>
          </w:rPr>
          <w:t>https://doi.org/10.1007/BF03404373</w:t>
        </w:r>
      </w:hyperlink>
      <w:r w:rsidR="00AB49AE">
        <w:rPr>
          <w:rFonts w:asciiTheme="majorHAnsi" w:eastAsia="Times New Roman" w:hAnsiTheme="majorHAnsi" w:cstheme="majorHAnsi"/>
          <w:color w:val="000000"/>
        </w:rPr>
        <w:t xml:space="preserve"> </w:t>
      </w:r>
    </w:p>
    <w:p w14:paraId="10D1D9BC" w14:textId="5D9ACCE6" w:rsidR="007833E8" w:rsidRDefault="007833E8" w:rsidP="00986AD3">
      <w:pPr>
        <w:ind w:left="720" w:hanging="720"/>
        <w:contextualSpacing/>
        <w:rPr>
          <w:rFonts w:asciiTheme="majorHAnsi" w:eastAsia="Times New Roman" w:hAnsiTheme="majorHAnsi" w:cstheme="majorHAnsi"/>
          <w:color w:val="000000"/>
        </w:rPr>
      </w:pPr>
    </w:p>
    <w:p w14:paraId="7A3A2191" w14:textId="2B2DE0B0" w:rsidR="007833E8" w:rsidRPr="007833E8" w:rsidRDefault="007833E8" w:rsidP="00A73DB8">
      <w:pPr>
        <w:ind w:left="720" w:hanging="720"/>
        <w:contextualSpacing/>
        <w:rPr>
          <w:rFonts w:asciiTheme="majorHAnsi" w:eastAsia="Times New Roman" w:hAnsiTheme="majorHAnsi" w:cstheme="majorHAnsi"/>
          <w:color w:val="000000"/>
        </w:rPr>
      </w:pPr>
      <w:proofErr w:type="spellStart"/>
      <w:r w:rsidRPr="007833E8">
        <w:rPr>
          <w:rFonts w:asciiTheme="majorHAnsi" w:eastAsia="Times New Roman" w:hAnsiTheme="majorHAnsi" w:cstheme="majorHAnsi"/>
          <w:color w:val="000000"/>
        </w:rPr>
        <w:t>Bonesteel</w:t>
      </w:r>
      <w:proofErr w:type="spellEnd"/>
      <w:r w:rsidRPr="007833E8">
        <w:rPr>
          <w:rFonts w:asciiTheme="majorHAnsi" w:eastAsia="Times New Roman" w:hAnsiTheme="majorHAnsi" w:cstheme="majorHAnsi"/>
          <w:color w:val="000000"/>
        </w:rPr>
        <w:t>, S. (2006). </w:t>
      </w:r>
      <w:r w:rsidRPr="007833E8">
        <w:rPr>
          <w:rFonts w:asciiTheme="majorHAnsi" w:eastAsia="Times New Roman" w:hAnsiTheme="majorHAnsi" w:cstheme="majorHAnsi"/>
          <w:i/>
          <w:iCs/>
          <w:color w:val="000000"/>
        </w:rPr>
        <w:t>Canada's Relationship with Inuit: A history of police and program development</w:t>
      </w:r>
      <w:r w:rsidRPr="007833E8">
        <w:rPr>
          <w:rFonts w:asciiTheme="majorHAnsi" w:eastAsia="Times New Roman" w:hAnsiTheme="majorHAnsi" w:cstheme="majorHAnsi"/>
          <w:color w:val="000000"/>
        </w:rPr>
        <w:t xml:space="preserve">. Ottawa: Indian and </w:t>
      </w:r>
      <w:r w:rsidR="008718C4">
        <w:rPr>
          <w:rFonts w:asciiTheme="majorHAnsi" w:eastAsia="Times New Roman" w:hAnsiTheme="majorHAnsi" w:cstheme="majorHAnsi"/>
          <w:color w:val="000000"/>
        </w:rPr>
        <w:t>North</w:t>
      </w:r>
      <w:r w:rsidRPr="007833E8">
        <w:rPr>
          <w:rFonts w:asciiTheme="majorHAnsi" w:eastAsia="Times New Roman" w:hAnsiTheme="majorHAnsi" w:cstheme="majorHAnsi"/>
          <w:color w:val="000000"/>
        </w:rPr>
        <w:t>ern Affairs Canada.</w:t>
      </w:r>
    </w:p>
    <w:p w14:paraId="16B377F6" w14:textId="77777777" w:rsidR="007833E8" w:rsidRPr="005668D4" w:rsidRDefault="007833E8" w:rsidP="007833E8">
      <w:pPr>
        <w:contextualSpacing/>
        <w:rPr>
          <w:rFonts w:asciiTheme="majorHAnsi" w:eastAsia="Times New Roman" w:hAnsiTheme="majorHAnsi" w:cstheme="majorHAnsi"/>
          <w:color w:val="000000"/>
        </w:rPr>
      </w:pPr>
    </w:p>
    <w:p w14:paraId="5B3374A5" w14:textId="2B1AF475" w:rsidR="00F50626" w:rsidRDefault="007833E8" w:rsidP="00986AD3">
      <w:pPr>
        <w:autoSpaceDE w:val="0"/>
        <w:autoSpaceDN w:val="0"/>
        <w:adjustRightInd w:val="0"/>
        <w:ind w:left="720" w:hanging="720"/>
        <w:contextualSpacing/>
        <w:rPr>
          <w:rFonts w:asciiTheme="majorHAnsi" w:hAnsiTheme="majorHAnsi" w:cstheme="majorHAnsi"/>
          <w:lang w:val="en-US"/>
        </w:rPr>
      </w:pPr>
      <w:r w:rsidRPr="005668D4">
        <w:rPr>
          <w:rFonts w:asciiTheme="majorHAnsi" w:hAnsiTheme="majorHAnsi" w:cstheme="majorHAnsi"/>
          <w:lang w:val="en-US"/>
        </w:rPr>
        <w:t xml:space="preserve">Bromley, R. (1996). Characteristics and management implications of the spring waterfowl hunt in the western Canadian Arctic, </w:t>
      </w:r>
      <w:r w:rsidR="008718C4">
        <w:rPr>
          <w:rFonts w:asciiTheme="majorHAnsi" w:hAnsiTheme="majorHAnsi" w:cstheme="majorHAnsi"/>
          <w:lang w:val="en-US"/>
        </w:rPr>
        <w:t>North</w:t>
      </w:r>
      <w:r w:rsidRPr="005668D4">
        <w:rPr>
          <w:rFonts w:asciiTheme="majorHAnsi" w:hAnsiTheme="majorHAnsi" w:cstheme="majorHAnsi"/>
          <w:lang w:val="en-US"/>
        </w:rPr>
        <w:t xml:space="preserve">west Territories. </w:t>
      </w:r>
      <w:r w:rsidRPr="005668D4">
        <w:rPr>
          <w:rFonts w:asciiTheme="majorHAnsi" w:hAnsiTheme="majorHAnsi" w:cstheme="majorHAnsi"/>
          <w:i/>
          <w:iCs/>
          <w:lang w:val="en-US"/>
        </w:rPr>
        <w:t>Arctic</w:t>
      </w:r>
      <w:r w:rsidRPr="005668D4">
        <w:rPr>
          <w:rFonts w:asciiTheme="majorHAnsi" w:hAnsiTheme="majorHAnsi" w:cstheme="majorHAnsi"/>
          <w:lang w:val="en-US"/>
        </w:rPr>
        <w:t xml:space="preserve">, </w:t>
      </w:r>
      <w:r w:rsidRPr="005668D4">
        <w:rPr>
          <w:rFonts w:asciiTheme="majorHAnsi" w:hAnsiTheme="majorHAnsi" w:cstheme="majorHAnsi"/>
          <w:i/>
          <w:iCs/>
          <w:lang w:val="en-US"/>
        </w:rPr>
        <w:t>49</w:t>
      </w:r>
      <w:r w:rsidRPr="005668D4">
        <w:rPr>
          <w:rFonts w:asciiTheme="majorHAnsi" w:hAnsiTheme="majorHAnsi" w:cstheme="majorHAnsi"/>
          <w:lang w:val="en-US"/>
        </w:rPr>
        <w:t xml:space="preserve">(1), 70-85. Retrieved from </w:t>
      </w:r>
      <w:hyperlink r:id="rId7" w:history="1">
        <w:r w:rsidRPr="00255120">
          <w:rPr>
            <w:rStyle w:val="Hyperlink"/>
            <w:rFonts w:asciiTheme="majorHAnsi" w:hAnsiTheme="majorHAnsi" w:cstheme="majorHAnsi"/>
            <w:lang w:val="en-US"/>
          </w:rPr>
          <w:t>https://link-gale-com.s</w:t>
        </w:r>
        <w:r w:rsidRPr="00255120">
          <w:rPr>
            <w:rStyle w:val="Hyperlink"/>
            <w:rFonts w:asciiTheme="majorHAnsi" w:hAnsiTheme="majorHAnsi" w:cstheme="majorHAnsi"/>
            <w:lang w:val="en-US"/>
          </w:rPr>
          <w:t>u</w:t>
        </w:r>
        <w:r w:rsidRPr="00255120">
          <w:rPr>
            <w:rStyle w:val="Hyperlink"/>
            <w:rFonts w:asciiTheme="majorHAnsi" w:hAnsiTheme="majorHAnsi" w:cstheme="majorHAnsi"/>
            <w:lang w:val="en-US"/>
          </w:rPr>
          <w:t>bz</w:t>
        </w:r>
        <w:r w:rsidRPr="00255120">
          <w:rPr>
            <w:rStyle w:val="Hyperlink"/>
            <w:rFonts w:asciiTheme="majorHAnsi" w:hAnsiTheme="majorHAnsi" w:cstheme="majorHAnsi"/>
            <w:lang w:val="en-US"/>
          </w:rPr>
          <w:t>e</w:t>
        </w:r>
        <w:r w:rsidRPr="00255120">
          <w:rPr>
            <w:rStyle w:val="Hyperlink"/>
            <w:rFonts w:asciiTheme="majorHAnsi" w:hAnsiTheme="majorHAnsi" w:cstheme="majorHAnsi"/>
            <w:lang w:val="en-US"/>
          </w:rPr>
          <w:t>ro.lib.uoguelph.ca/apps/doc/A30276783/AONE?u=guel77241&amp;sid=AONE&amp;xid=fbea39b5</w:t>
        </w:r>
      </w:hyperlink>
    </w:p>
    <w:p w14:paraId="34B9D4DE" w14:textId="77777777" w:rsidR="007833E8" w:rsidRPr="005668D4" w:rsidRDefault="007833E8" w:rsidP="00986AD3">
      <w:pPr>
        <w:autoSpaceDE w:val="0"/>
        <w:autoSpaceDN w:val="0"/>
        <w:adjustRightInd w:val="0"/>
        <w:ind w:left="720" w:hanging="720"/>
        <w:contextualSpacing/>
        <w:rPr>
          <w:rFonts w:asciiTheme="majorHAnsi" w:hAnsiTheme="majorHAnsi" w:cstheme="majorHAnsi"/>
          <w:lang w:val="en-US"/>
        </w:rPr>
      </w:pPr>
    </w:p>
    <w:p w14:paraId="28112D23" w14:textId="61173D45" w:rsidR="008C0F65" w:rsidRPr="007833E8" w:rsidRDefault="00266958" w:rsidP="007833E8">
      <w:pPr>
        <w:ind w:left="720" w:hanging="720"/>
        <w:contextualSpacing/>
        <w:rPr>
          <w:rFonts w:asciiTheme="majorHAnsi" w:eastAsia="Times New Roman" w:hAnsiTheme="majorHAnsi" w:cstheme="majorHAnsi"/>
          <w:color w:val="000000"/>
        </w:rPr>
      </w:pPr>
      <w:r w:rsidRPr="005668D4">
        <w:rPr>
          <w:rFonts w:asciiTheme="majorHAnsi" w:eastAsia="Times New Roman" w:hAnsiTheme="majorHAnsi" w:cstheme="majorHAnsi"/>
          <w:color w:val="000000"/>
        </w:rPr>
        <w:t xml:space="preserve">Burnett, K., Skinner, K., &amp; LeBlanc, J. (2015). From Food Mail to Nutrition </w:t>
      </w:r>
      <w:r w:rsidR="008718C4">
        <w:rPr>
          <w:rFonts w:asciiTheme="majorHAnsi" w:eastAsia="Times New Roman" w:hAnsiTheme="majorHAnsi" w:cstheme="majorHAnsi"/>
          <w:color w:val="000000"/>
        </w:rPr>
        <w:t>North</w:t>
      </w:r>
      <w:r w:rsidRPr="005668D4">
        <w:rPr>
          <w:rFonts w:asciiTheme="majorHAnsi" w:eastAsia="Times New Roman" w:hAnsiTheme="majorHAnsi" w:cstheme="majorHAnsi"/>
          <w:color w:val="000000"/>
        </w:rPr>
        <w:t xml:space="preserve"> Canada: Reconsidering federal food subsidy programs for </w:t>
      </w:r>
      <w:r w:rsidR="008718C4">
        <w:rPr>
          <w:rFonts w:asciiTheme="majorHAnsi" w:eastAsia="Times New Roman" w:hAnsiTheme="majorHAnsi" w:cstheme="majorHAnsi"/>
          <w:color w:val="000000"/>
        </w:rPr>
        <w:t>North</w:t>
      </w:r>
      <w:r w:rsidRPr="005668D4">
        <w:rPr>
          <w:rFonts w:asciiTheme="majorHAnsi" w:eastAsia="Times New Roman" w:hAnsiTheme="majorHAnsi" w:cstheme="majorHAnsi"/>
          <w:color w:val="000000"/>
        </w:rPr>
        <w:t>ern Ontario. </w:t>
      </w:r>
      <w:r w:rsidRPr="005668D4">
        <w:rPr>
          <w:rFonts w:asciiTheme="majorHAnsi" w:eastAsia="Times New Roman" w:hAnsiTheme="majorHAnsi" w:cstheme="majorHAnsi"/>
          <w:i/>
          <w:iCs/>
          <w:color w:val="000000"/>
        </w:rPr>
        <w:t xml:space="preserve">Canadian Food Studies / La Revue Canadienne Des Études Sur </w:t>
      </w:r>
      <w:proofErr w:type="spellStart"/>
      <w:r w:rsidRPr="005668D4">
        <w:rPr>
          <w:rFonts w:asciiTheme="majorHAnsi" w:eastAsia="Times New Roman" w:hAnsiTheme="majorHAnsi" w:cstheme="majorHAnsi"/>
          <w:i/>
          <w:iCs/>
          <w:color w:val="000000"/>
        </w:rPr>
        <w:t>L'alimentation</w:t>
      </w:r>
      <w:proofErr w:type="spellEnd"/>
      <w:r w:rsidRPr="005668D4">
        <w:rPr>
          <w:rFonts w:asciiTheme="majorHAnsi" w:eastAsia="Times New Roman" w:hAnsiTheme="majorHAnsi" w:cstheme="majorHAnsi"/>
          <w:color w:val="000000"/>
        </w:rPr>
        <w:t>, </w:t>
      </w:r>
      <w:r w:rsidRPr="005668D4">
        <w:rPr>
          <w:rFonts w:asciiTheme="majorHAnsi" w:eastAsia="Times New Roman" w:hAnsiTheme="majorHAnsi" w:cstheme="majorHAnsi"/>
          <w:i/>
          <w:iCs/>
          <w:color w:val="000000"/>
        </w:rPr>
        <w:t>2</w:t>
      </w:r>
      <w:r w:rsidRPr="005668D4">
        <w:rPr>
          <w:rFonts w:asciiTheme="majorHAnsi" w:eastAsia="Times New Roman" w:hAnsiTheme="majorHAnsi" w:cstheme="majorHAnsi"/>
          <w:color w:val="000000"/>
        </w:rPr>
        <w:t xml:space="preserve">(1), 141. </w:t>
      </w:r>
      <w:hyperlink r:id="rId8" w:history="1">
        <w:r w:rsidR="00AB49AE" w:rsidRPr="00255120">
          <w:rPr>
            <w:rStyle w:val="Hyperlink"/>
            <w:rFonts w:asciiTheme="majorHAnsi" w:eastAsia="Times New Roman" w:hAnsiTheme="majorHAnsi" w:cstheme="majorHAnsi"/>
          </w:rPr>
          <w:t>https://doi.org/10.15353/cfs-rcea.v2i1.62</w:t>
        </w:r>
      </w:hyperlink>
      <w:r w:rsidR="00AB49AE">
        <w:rPr>
          <w:rFonts w:asciiTheme="majorHAnsi" w:eastAsia="Times New Roman" w:hAnsiTheme="majorHAnsi" w:cstheme="majorHAnsi"/>
          <w:color w:val="000000"/>
        </w:rPr>
        <w:t xml:space="preserve"> </w:t>
      </w:r>
    </w:p>
    <w:p w14:paraId="78C6A7C5" w14:textId="0E8EFB8B" w:rsidR="00811711" w:rsidRPr="005668D4" w:rsidRDefault="00811711" w:rsidP="00986AD3">
      <w:pPr>
        <w:autoSpaceDE w:val="0"/>
        <w:autoSpaceDN w:val="0"/>
        <w:adjustRightInd w:val="0"/>
        <w:ind w:left="720" w:hanging="720"/>
        <w:contextualSpacing/>
        <w:rPr>
          <w:rFonts w:asciiTheme="majorHAnsi" w:hAnsiTheme="majorHAnsi" w:cstheme="majorHAnsi"/>
          <w:lang w:val="en-US"/>
        </w:rPr>
      </w:pPr>
    </w:p>
    <w:p w14:paraId="1E54CF2D" w14:textId="7D0449A3" w:rsidR="00811711" w:rsidRPr="005668D4" w:rsidRDefault="00811711" w:rsidP="00986AD3">
      <w:pPr>
        <w:autoSpaceDE w:val="0"/>
        <w:autoSpaceDN w:val="0"/>
        <w:adjustRightInd w:val="0"/>
        <w:ind w:left="720" w:hanging="720"/>
        <w:contextualSpacing/>
        <w:rPr>
          <w:rFonts w:asciiTheme="majorHAnsi" w:hAnsiTheme="majorHAnsi" w:cstheme="majorHAnsi"/>
          <w:lang w:val="en-US"/>
        </w:rPr>
      </w:pPr>
      <w:r w:rsidRPr="005668D4">
        <w:rPr>
          <w:rFonts w:asciiTheme="majorHAnsi" w:hAnsiTheme="majorHAnsi" w:cstheme="majorHAnsi"/>
          <w:lang w:val="en-US"/>
        </w:rPr>
        <w:t xml:space="preserve">Carmack, E., &amp; Macdonald, R. (2008). Water and ice-related phenomena in the coastal region of the Beaufort Sea: some parallels between Native experience and Western science. </w:t>
      </w:r>
      <w:r w:rsidRPr="005668D4">
        <w:rPr>
          <w:rFonts w:asciiTheme="majorHAnsi" w:hAnsiTheme="majorHAnsi" w:cstheme="majorHAnsi"/>
          <w:i/>
          <w:iCs/>
          <w:lang w:val="en-US"/>
        </w:rPr>
        <w:t>Arctic</w:t>
      </w:r>
      <w:r w:rsidRPr="005668D4">
        <w:rPr>
          <w:rFonts w:asciiTheme="majorHAnsi" w:hAnsiTheme="majorHAnsi" w:cstheme="majorHAnsi"/>
          <w:lang w:val="en-US"/>
        </w:rPr>
        <w:t xml:space="preserve">, </w:t>
      </w:r>
      <w:r w:rsidRPr="005668D4">
        <w:rPr>
          <w:rFonts w:asciiTheme="majorHAnsi" w:hAnsiTheme="majorHAnsi" w:cstheme="majorHAnsi"/>
          <w:i/>
          <w:iCs/>
          <w:lang w:val="en-US"/>
        </w:rPr>
        <w:t>61</w:t>
      </w:r>
      <w:r w:rsidRPr="005668D4">
        <w:rPr>
          <w:rFonts w:asciiTheme="majorHAnsi" w:hAnsiTheme="majorHAnsi" w:cstheme="majorHAnsi"/>
          <w:lang w:val="en-US"/>
        </w:rPr>
        <w:t xml:space="preserve">(3), 265+. Retrieved from </w:t>
      </w:r>
      <w:hyperlink r:id="rId9" w:history="1">
        <w:r w:rsidR="00AB49AE" w:rsidRPr="00255120">
          <w:rPr>
            <w:rStyle w:val="Hyperlink"/>
            <w:rFonts w:asciiTheme="majorHAnsi" w:hAnsiTheme="majorHAnsi" w:cstheme="majorHAnsi"/>
            <w:lang w:val="en-US"/>
          </w:rPr>
          <w:t>http</w:t>
        </w:r>
        <w:r w:rsidR="00AB49AE" w:rsidRPr="00255120">
          <w:rPr>
            <w:rStyle w:val="Hyperlink"/>
            <w:rFonts w:asciiTheme="majorHAnsi" w:hAnsiTheme="majorHAnsi" w:cstheme="majorHAnsi"/>
            <w:lang w:val="en-US"/>
          </w:rPr>
          <w:t>s</w:t>
        </w:r>
        <w:r w:rsidR="00AB49AE" w:rsidRPr="00255120">
          <w:rPr>
            <w:rStyle w:val="Hyperlink"/>
            <w:rFonts w:asciiTheme="majorHAnsi" w:hAnsiTheme="majorHAnsi" w:cstheme="majorHAnsi"/>
            <w:lang w:val="en-US"/>
          </w:rPr>
          <w:t>://link-gale-com.subzero.lib.uoguelph.ca/apps/doc/A186582317/AONE?u=guel77241&amp;sid=AONE&amp;xid=47736846</w:t>
        </w:r>
      </w:hyperlink>
      <w:r w:rsidR="00AB49AE">
        <w:rPr>
          <w:rFonts w:asciiTheme="majorHAnsi" w:hAnsiTheme="majorHAnsi" w:cstheme="majorHAnsi"/>
          <w:color w:val="000000" w:themeColor="text1"/>
          <w:lang w:val="en-US"/>
        </w:rPr>
        <w:t xml:space="preserve"> </w:t>
      </w:r>
    </w:p>
    <w:p w14:paraId="17E3027A" w14:textId="77777777" w:rsidR="001974DF" w:rsidRPr="005668D4" w:rsidRDefault="001974DF" w:rsidP="00986AD3">
      <w:pPr>
        <w:autoSpaceDE w:val="0"/>
        <w:autoSpaceDN w:val="0"/>
        <w:adjustRightInd w:val="0"/>
        <w:ind w:left="720" w:hanging="720"/>
        <w:contextualSpacing/>
        <w:rPr>
          <w:rFonts w:asciiTheme="majorHAnsi" w:hAnsiTheme="majorHAnsi" w:cstheme="majorHAnsi"/>
          <w:lang w:val="en-US"/>
        </w:rPr>
      </w:pPr>
    </w:p>
    <w:p w14:paraId="5A3C757F" w14:textId="26206140" w:rsidR="004619E5" w:rsidRPr="005668D4" w:rsidRDefault="001974DF" w:rsidP="00986AD3">
      <w:pPr>
        <w:adjustRightInd w:val="0"/>
        <w:spacing w:before="120" w:after="120"/>
        <w:ind w:left="720" w:hanging="720"/>
        <w:contextualSpacing/>
        <w:rPr>
          <w:rFonts w:asciiTheme="majorHAnsi" w:eastAsia="Calibri" w:hAnsiTheme="majorHAnsi" w:cstheme="majorHAnsi"/>
          <w:bCs/>
        </w:rPr>
      </w:pPr>
      <w:r w:rsidRPr="005668D4">
        <w:rPr>
          <w:rFonts w:asciiTheme="majorHAnsi" w:eastAsia="Calibri" w:hAnsiTheme="majorHAnsi" w:cstheme="majorHAnsi"/>
          <w:bCs/>
        </w:rPr>
        <w:t xml:space="preserve">Chiu, A., Goddard, E., </w:t>
      </w:r>
      <w:r w:rsidR="00A73DB8">
        <w:rPr>
          <w:rFonts w:asciiTheme="majorHAnsi" w:eastAsia="Calibri" w:hAnsiTheme="majorHAnsi" w:cstheme="majorHAnsi"/>
          <w:bCs/>
        </w:rPr>
        <w:t xml:space="preserve">&amp; </w:t>
      </w:r>
      <w:proofErr w:type="spellStart"/>
      <w:r w:rsidRPr="005668D4">
        <w:rPr>
          <w:rFonts w:asciiTheme="majorHAnsi" w:eastAsia="Calibri" w:hAnsiTheme="majorHAnsi" w:cstheme="majorHAnsi"/>
          <w:bCs/>
        </w:rPr>
        <w:t>Parlee</w:t>
      </w:r>
      <w:proofErr w:type="spellEnd"/>
      <w:r w:rsidRPr="005668D4">
        <w:rPr>
          <w:rFonts w:asciiTheme="majorHAnsi" w:eastAsia="Calibri" w:hAnsiTheme="majorHAnsi" w:cstheme="majorHAnsi"/>
          <w:bCs/>
        </w:rPr>
        <w:t xml:space="preserve">, B. (2016). Caribou consumption in </w:t>
      </w:r>
      <w:r w:rsidR="008718C4">
        <w:rPr>
          <w:rFonts w:asciiTheme="majorHAnsi" w:eastAsia="Calibri" w:hAnsiTheme="majorHAnsi" w:cstheme="majorHAnsi"/>
          <w:bCs/>
        </w:rPr>
        <w:t>North</w:t>
      </w:r>
      <w:r w:rsidRPr="005668D4">
        <w:rPr>
          <w:rFonts w:asciiTheme="majorHAnsi" w:eastAsia="Calibri" w:hAnsiTheme="majorHAnsi" w:cstheme="majorHAnsi"/>
          <w:bCs/>
        </w:rPr>
        <w:t>ern Canadian communities, Journal of Toxicology and Environmental Health, Part A, 79:16-17, 762-797</w:t>
      </w:r>
      <w:r w:rsidR="00AB49AE">
        <w:rPr>
          <w:rFonts w:asciiTheme="majorHAnsi" w:eastAsia="Calibri" w:hAnsiTheme="majorHAnsi" w:cstheme="majorHAnsi"/>
          <w:bCs/>
        </w:rPr>
        <w:t xml:space="preserve">. </w:t>
      </w:r>
      <w:hyperlink r:id="rId10" w:history="1">
        <w:r w:rsidR="00AB49AE" w:rsidRPr="00255120">
          <w:rPr>
            <w:rStyle w:val="Hyperlink"/>
            <w:rFonts w:asciiTheme="majorHAnsi" w:eastAsia="Calibri" w:hAnsiTheme="majorHAnsi" w:cstheme="majorHAnsi"/>
            <w:bCs/>
          </w:rPr>
          <w:t>https://doi.org/10.1080/15287394.2016.1174011</w:t>
        </w:r>
      </w:hyperlink>
      <w:r w:rsidR="00AB49AE">
        <w:rPr>
          <w:rFonts w:asciiTheme="majorHAnsi" w:eastAsia="Calibri" w:hAnsiTheme="majorHAnsi" w:cstheme="majorHAnsi"/>
          <w:bCs/>
        </w:rPr>
        <w:t xml:space="preserve"> </w:t>
      </w:r>
    </w:p>
    <w:p w14:paraId="474F8994" w14:textId="77777777" w:rsidR="006A2BE5" w:rsidRPr="005668D4" w:rsidRDefault="006A2BE5" w:rsidP="00986AD3">
      <w:pPr>
        <w:adjustRightInd w:val="0"/>
        <w:spacing w:before="120" w:after="120"/>
        <w:ind w:left="720" w:hanging="720"/>
        <w:contextualSpacing/>
        <w:rPr>
          <w:rFonts w:asciiTheme="majorHAnsi" w:eastAsia="Calibri" w:hAnsiTheme="majorHAnsi" w:cstheme="majorHAnsi"/>
          <w:bCs/>
        </w:rPr>
      </w:pPr>
    </w:p>
    <w:p w14:paraId="14E71B47" w14:textId="18A24270" w:rsidR="00266958" w:rsidRPr="005668D4" w:rsidRDefault="00266958" w:rsidP="00986AD3">
      <w:pPr>
        <w:contextualSpacing/>
        <w:rPr>
          <w:rFonts w:asciiTheme="majorHAnsi" w:eastAsia="Times New Roman" w:hAnsiTheme="majorHAnsi" w:cstheme="majorHAnsi"/>
          <w:color w:val="000000"/>
        </w:rPr>
      </w:pPr>
      <w:proofErr w:type="spellStart"/>
      <w:r w:rsidRPr="005668D4">
        <w:rPr>
          <w:rFonts w:asciiTheme="majorHAnsi" w:eastAsia="Times New Roman" w:hAnsiTheme="majorHAnsi" w:cstheme="majorHAnsi"/>
          <w:color w:val="000000"/>
        </w:rPr>
        <w:t>Dargo</w:t>
      </w:r>
      <w:proofErr w:type="spellEnd"/>
      <w:r w:rsidRPr="005668D4">
        <w:rPr>
          <w:rFonts w:asciiTheme="majorHAnsi" w:eastAsia="Times New Roman" w:hAnsiTheme="majorHAnsi" w:cstheme="majorHAnsi"/>
          <w:color w:val="000000"/>
        </w:rPr>
        <w:t>, G. (2008). </w:t>
      </w:r>
      <w:r w:rsidRPr="005668D4">
        <w:rPr>
          <w:rFonts w:asciiTheme="majorHAnsi" w:eastAsia="Times New Roman" w:hAnsiTheme="majorHAnsi" w:cstheme="majorHAnsi"/>
          <w:i/>
          <w:iCs/>
          <w:color w:val="000000"/>
        </w:rPr>
        <w:t>Food Mail Program Review</w:t>
      </w:r>
      <w:r w:rsidRPr="005668D4">
        <w:rPr>
          <w:rFonts w:asciiTheme="majorHAnsi" w:eastAsia="Times New Roman" w:hAnsiTheme="majorHAnsi" w:cstheme="majorHAnsi"/>
          <w:color w:val="000000"/>
        </w:rPr>
        <w:t xml:space="preserve">. Yellowknife, NT: </w:t>
      </w:r>
      <w:proofErr w:type="spellStart"/>
      <w:r w:rsidRPr="005668D4">
        <w:rPr>
          <w:rFonts w:asciiTheme="majorHAnsi" w:eastAsia="Times New Roman" w:hAnsiTheme="majorHAnsi" w:cstheme="majorHAnsi"/>
          <w:color w:val="000000"/>
        </w:rPr>
        <w:t>Dargo</w:t>
      </w:r>
      <w:proofErr w:type="spellEnd"/>
      <w:r w:rsidRPr="005668D4">
        <w:rPr>
          <w:rFonts w:asciiTheme="majorHAnsi" w:eastAsia="Times New Roman" w:hAnsiTheme="majorHAnsi" w:cstheme="majorHAnsi"/>
          <w:color w:val="000000"/>
        </w:rPr>
        <w:t xml:space="preserve"> &amp; Associates Ltd.</w:t>
      </w:r>
    </w:p>
    <w:p w14:paraId="23DB7AE3" w14:textId="77777777" w:rsidR="00266958" w:rsidRPr="005668D4" w:rsidRDefault="00266958" w:rsidP="00986AD3">
      <w:pPr>
        <w:contextualSpacing/>
        <w:rPr>
          <w:rFonts w:asciiTheme="majorHAnsi" w:eastAsia="Times New Roman" w:hAnsiTheme="majorHAnsi" w:cstheme="majorHAnsi"/>
          <w:color w:val="000000"/>
        </w:rPr>
      </w:pPr>
    </w:p>
    <w:p w14:paraId="207A9020" w14:textId="2CDE2828" w:rsidR="00266958" w:rsidRDefault="00266958" w:rsidP="00986AD3">
      <w:pPr>
        <w:ind w:left="720" w:hanging="720"/>
        <w:contextualSpacing/>
        <w:rPr>
          <w:rFonts w:asciiTheme="majorHAnsi" w:eastAsia="Times New Roman" w:hAnsiTheme="majorHAnsi" w:cstheme="majorHAnsi"/>
          <w:color w:val="000000"/>
        </w:rPr>
      </w:pPr>
      <w:r w:rsidRPr="005668D4">
        <w:rPr>
          <w:rFonts w:asciiTheme="majorHAnsi" w:eastAsia="Times New Roman" w:hAnsiTheme="majorHAnsi" w:cstheme="majorHAnsi"/>
          <w:color w:val="000000"/>
        </w:rPr>
        <w:t xml:space="preserve">Dudley, J., </w:t>
      </w:r>
      <w:proofErr w:type="spellStart"/>
      <w:r w:rsidRPr="005668D4">
        <w:rPr>
          <w:rFonts w:asciiTheme="majorHAnsi" w:eastAsia="Times New Roman" w:hAnsiTheme="majorHAnsi" w:cstheme="majorHAnsi"/>
          <w:color w:val="000000"/>
        </w:rPr>
        <w:t>Hoberg</w:t>
      </w:r>
      <w:proofErr w:type="spellEnd"/>
      <w:r w:rsidRPr="005668D4">
        <w:rPr>
          <w:rFonts w:asciiTheme="majorHAnsi" w:eastAsia="Times New Roman" w:hAnsiTheme="majorHAnsi" w:cstheme="majorHAnsi"/>
          <w:color w:val="000000"/>
        </w:rPr>
        <w:t xml:space="preserve">, E., Jenkins, E., &amp; Parkinson, A. (2015). Climate Change in the </w:t>
      </w:r>
      <w:r w:rsidR="008718C4">
        <w:rPr>
          <w:rFonts w:asciiTheme="majorHAnsi" w:eastAsia="Times New Roman" w:hAnsiTheme="majorHAnsi" w:cstheme="majorHAnsi"/>
          <w:color w:val="000000"/>
        </w:rPr>
        <w:t>North</w:t>
      </w:r>
      <w:r w:rsidRPr="005668D4">
        <w:rPr>
          <w:rFonts w:asciiTheme="majorHAnsi" w:eastAsia="Times New Roman" w:hAnsiTheme="majorHAnsi" w:cstheme="majorHAnsi"/>
          <w:color w:val="000000"/>
        </w:rPr>
        <w:t xml:space="preserve"> American Arctic: A One Health Perspective. </w:t>
      </w:r>
      <w:proofErr w:type="spellStart"/>
      <w:r w:rsidRPr="005668D4">
        <w:rPr>
          <w:rFonts w:asciiTheme="majorHAnsi" w:eastAsia="Times New Roman" w:hAnsiTheme="majorHAnsi" w:cstheme="majorHAnsi"/>
          <w:i/>
          <w:iCs/>
          <w:color w:val="000000"/>
        </w:rPr>
        <w:t>Ecohealth</w:t>
      </w:r>
      <w:proofErr w:type="spellEnd"/>
      <w:r w:rsidRPr="005668D4">
        <w:rPr>
          <w:rFonts w:asciiTheme="majorHAnsi" w:eastAsia="Times New Roman" w:hAnsiTheme="majorHAnsi" w:cstheme="majorHAnsi"/>
          <w:color w:val="000000"/>
        </w:rPr>
        <w:t>, </w:t>
      </w:r>
      <w:r w:rsidRPr="005668D4">
        <w:rPr>
          <w:rFonts w:asciiTheme="majorHAnsi" w:eastAsia="Times New Roman" w:hAnsiTheme="majorHAnsi" w:cstheme="majorHAnsi"/>
          <w:i/>
          <w:iCs/>
          <w:color w:val="000000"/>
        </w:rPr>
        <w:t>12</w:t>
      </w:r>
      <w:r w:rsidRPr="005668D4">
        <w:rPr>
          <w:rFonts w:asciiTheme="majorHAnsi" w:eastAsia="Times New Roman" w:hAnsiTheme="majorHAnsi" w:cstheme="majorHAnsi"/>
          <w:color w:val="000000"/>
        </w:rPr>
        <w:t xml:space="preserve">(4), 713-725. </w:t>
      </w:r>
      <w:hyperlink r:id="rId11" w:history="1">
        <w:r w:rsidR="00AB49AE" w:rsidRPr="00255120">
          <w:rPr>
            <w:rStyle w:val="Hyperlink"/>
            <w:rFonts w:asciiTheme="majorHAnsi" w:eastAsia="Times New Roman" w:hAnsiTheme="majorHAnsi" w:cstheme="majorHAnsi"/>
          </w:rPr>
          <w:t>https://doi.org/10.1007/s10393-015-1036-1</w:t>
        </w:r>
      </w:hyperlink>
      <w:r w:rsidR="00AB49AE">
        <w:rPr>
          <w:rFonts w:asciiTheme="majorHAnsi" w:eastAsia="Times New Roman" w:hAnsiTheme="majorHAnsi" w:cstheme="majorHAnsi"/>
          <w:color w:val="000000"/>
        </w:rPr>
        <w:t xml:space="preserve"> </w:t>
      </w:r>
    </w:p>
    <w:p w14:paraId="36D2630C" w14:textId="402EA1FE" w:rsidR="00BD3B56" w:rsidRDefault="00BD3B56" w:rsidP="00986AD3">
      <w:pPr>
        <w:ind w:left="720" w:hanging="720"/>
        <w:contextualSpacing/>
        <w:rPr>
          <w:rFonts w:asciiTheme="majorHAnsi" w:eastAsia="Times New Roman" w:hAnsiTheme="majorHAnsi" w:cstheme="majorHAnsi"/>
          <w:color w:val="000000"/>
        </w:rPr>
      </w:pPr>
    </w:p>
    <w:p w14:paraId="580976EC" w14:textId="7B79CBDF" w:rsidR="00BD3B56" w:rsidRPr="00BD3B56" w:rsidRDefault="00BD3B56" w:rsidP="00986AD3">
      <w:pPr>
        <w:ind w:left="720" w:hanging="720"/>
        <w:contextualSpacing/>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Duhaime</w:t>
      </w:r>
      <w:proofErr w:type="spellEnd"/>
      <w:r>
        <w:rPr>
          <w:rFonts w:asciiTheme="majorHAnsi" w:eastAsia="Times New Roman" w:hAnsiTheme="majorHAnsi" w:cstheme="majorHAnsi"/>
          <w:color w:val="000000"/>
        </w:rPr>
        <w:t xml:space="preserve">, G., Chabot, M., </w:t>
      </w:r>
      <w:r w:rsidR="00A73DB8">
        <w:rPr>
          <w:rFonts w:asciiTheme="majorHAnsi" w:eastAsia="Times New Roman" w:hAnsiTheme="majorHAnsi" w:cstheme="majorHAnsi"/>
          <w:color w:val="000000"/>
        </w:rPr>
        <w:t xml:space="preserve">&amp; </w:t>
      </w:r>
      <w:r>
        <w:rPr>
          <w:rFonts w:asciiTheme="majorHAnsi" w:eastAsia="Times New Roman" w:hAnsiTheme="majorHAnsi" w:cstheme="majorHAnsi"/>
          <w:color w:val="000000"/>
        </w:rPr>
        <w:t xml:space="preserve">Gaudreault, M. (2002). Food consumption patterns and socioeconomic factors among the Inuit of Nunavik. </w:t>
      </w:r>
      <w:proofErr w:type="spellStart"/>
      <w:r>
        <w:rPr>
          <w:rFonts w:asciiTheme="majorHAnsi" w:eastAsia="Times New Roman" w:hAnsiTheme="majorHAnsi" w:cstheme="majorHAnsi"/>
          <w:i/>
          <w:color w:val="000000"/>
        </w:rPr>
        <w:t>Ecol</w:t>
      </w:r>
      <w:proofErr w:type="spellEnd"/>
      <w:r>
        <w:rPr>
          <w:rFonts w:asciiTheme="majorHAnsi" w:eastAsia="Times New Roman" w:hAnsiTheme="majorHAnsi" w:cstheme="majorHAnsi"/>
          <w:i/>
          <w:color w:val="000000"/>
        </w:rPr>
        <w:t xml:space="preserve"> Food </w:t>
      </w:r>
      <w:proofErr w:type="spellStart"/>
      <w:r>
        <w:rPr>
          <w:rFonts w:asciiTheme="majorHAnsi" w:eastAsia="Times New Roman" w:hAnsiTheme="majorHAnsi" w:cstheme="majorHAnsi"/>
          <w:i/>
          <w:color w:val="000000"/>
        </w:rPr>
        <w:t>Nutr</w:t>
      </w:r>
      <w:proofErr w:type="spellEnd"/>
      <w:r>
        <w:rPr>
          <w:rFonts w:asciiTheme="majorHAnsi" w:eastAsia="Times New Roman" w:hAnsiTheme="majorHAnsi" w:cstheme="majorHAnsi"/>
          <w:i/>
          <w:color w:val="000000"/>
        </w:rPr>
        <w:t>, 41</w:t>
      </w:r>
      <w:r>
        <w:rPr>
          <w:rFonts w:asciiTheme="majorHAnsi" w:eastAsia="Times New Roman" w:hAnsiTheme="majorHAnsi" w:cstheme="majorHAnsi"/>
          <w:color w:val="000000"/>
        </w:rPr>
        <w:t xml:space="preserve">, 91-118. </w:t>
      </w:r>
    </w:p>
    <w:p w14:paraId="3E500FCA" w14:textId="77777777" w:rsidR="00266958" w:rsidRPr="005668D4" w:rsidRDefault="00266958" w:rsidP="00986AD3">
      <w:pPr>
        <w:autoSpaceDE w:val="0"/>
        <w:autoSpaceDN w:val="0"/>
        <w:adjustRightInd w:val="0"/>
        <w:contextualSpacing/>
        <w:rPr>
          <w:rFonts w:asciiTheme="majorHAnsi" w:hAnsiTheme="majorHAnsi" w:cstheme="majorHAnsi"/>
          <w:lang w:val="en-US"/>
        </w:rPr>
      </w:pPr>
    </w:p>
    <w:p w14:paraId="04609196" w14:textId="18BDA42D" w:rsidR="004619E5" w:rsidRPr="005668D4" w:rsidRDefault="004619E5" w:rsidP="00986AD3">
      <w:pPr>
        <w:autoSpaceDE w:val="0"/>
        <w:autoSpaceDN w:val="0"/>
        <w:adjustRightInd w:val="0"/>
        <w:ind w:left="720" w:hanging="720"/>
        <w:contextualSpacing/>
        <w:rPr>
          <w:rFonts w:asciiTheme="majorHAnsi" w:hAnsiTheme="majorHAnsi" w:cstheme="majorHAnsi"/>
          <w:lang w:val="en-US"/>
        </w:rPr>
      </w:pPr>
      <w:proofErr w:type="spellStart"/>
      <w:r w:rsidRPr="005668D4">
        <w:rPr>
          <w:rFonts w:asciiTheme="majorHAnsi" w:hAnsiTheme="majorHAnsi" w:cstheme="majorHAnsi"/>
          <w:lang w:val="en-US"/>
        </w:rPr>
        <w:t>Fillion</w:t>
      </w:r>
      <w:proofErr w:type="spellEnd"/>
      <w:r w:rsidRPr="005668D4">
        <w:rPr>
          <w:rFonts w:asciiTheme="majorHAnsi" w:hAnsiTheme="majorHAnsi" w:cstheme="majorHAnsi"/>
          <w:lang w:val="en-US"/>
        </w:rPr>
        <w:t xml:space="preserve">, M., Laird, B., Douglas, V., Van Pelt, L., Archie, D., &amp; Chan, H. (2014). Development of a strategic plan for food security and safety in the Inuvialuit Settlement Region, Canada. </w:t>
      </w:r>
      <w:r w:rsidRPr="005668D4">
        <w:rPr>
          <w:rFonts w:asciiTheme="majorHAnsi" w:hAnsiTheme="majorHAnsi" w:cstheme="majorHAnsi"/>
          <w:i/>
          <w:iCs/>
          <w:lang w:val="en-US"/>
        </w:rPr>
        <w:t>International Journal of Circumpolar Health</w:t>
      </w:r>
      <w:r w:rsidRPr="005668D4">
        <w:rPr>
          <w:rFonts w:asciiTheme="majorHAnsi" w:hAnsiTheme="majorHAnsi" w:cstheme="majorHAnsi"/>
          <w:lang w:val="en-US"/>
        </w:rPr>
        <w:t xml:space="preserve">, </w:t>
      </w:r>
      <w:r w:rsidRPr="005668D4">
        <w:rPr>
          <w:rFonts w:asciiTheme="majorHAnsi" w:hAnsiTheme="majorHAnsi" w:cstheme="majorHAnsi"/>
          <w:i/>
          <w:iCs/>
          <w:lang w:val="en-US"/>
        </w:rPr>
        <w:t>73</w:t>
      </w:r>
      <w:r w:rsidRPr="005668D4">
        <w:rPr>
          <w:rFonts w:asciiTheme="majorHAnsi" w:hAnsiTheme="majorHAnsi" w:cstheme="majorHAnsi"/>
          <w:lang w:val="en-US"/>
        </w:rPr>
        <w:t xml:space="preserve">(1), 25091. </w:t>
      </w:r>
      <w:hyperlink r:id="rId12" w:history="1">
        <w:r w:rsidRPr="005668D4">
          <w:rPr>
            <w:rStyle w:val="Hyperlink"/>
            <w:rFonts w:asciiTheme="majorHAnsi" w:hAnsiTheme="majorHAnsi" w:cstheme="majorHAnsi"/>
            <w:lang w:val="en-US"/>
          </w:rPr>
          <w:t>https://doi.org/10.3402/ijch.v73.25091</w:t>
        </w:r>
      </w:hyperlink>
    </w:p>
    <w:p w14:paraId="52AC61C6" w14:textId="77777777" w:rsidR="0065591F" w:rsidRPr="005668D4" w:rsidRDefault="0065591F" w:rsidP="00986AD3">
      <w:pPr>
        <w:contextualSpacing/>
        <w:rPr>
          <w:rFonts w:asciiTheme="majorHAnsi" w:eastAsia="Times New Roman" w:hAnsiTheme="majorHAnsi" w:cstheme="majorHAnsi"/>
          <w:color w:val="000000"/>
        </w:rPr>
      </w:pPr>
    </w:p>
    <w:p w14:paraId="546E6137" w14:textId="2B0CCEF2" w:rsidR="0065591F" w:rsidRPr="00AB49AE" w:rsidRDefault="0065591F" w:rsidP="00986AD3">
      <w:pPr>
        <w:ind w:left="720" w:hanging="720"/>
        <w:contextualSpacing/>
        <w:rPr>
          <w:rFonts w:asciiTheme="majorHAnsi" w:eastAsia="Times New Roman" w:hAnsiTheme="majorHAnsi" w:cstheme="majorHAnsi"/>
          <w:b/>
          <w:color w:val="000000"/>
        </w:rPr>
      </w:pPr>
      <w:r w:rsidRPr="005668D4">
        <w:rPr>
          <w:rFonts w:asciiTheme="majorHAnsi" w:eastAsia="Times New Roman" w:hAnsiTheme="majorHAnsi" w:cstheme="majorHAnsi"/>
          <w:color w:val="000000"/>
        </w:rPr>
        <w:t>Ford, J.,</w:t>
      </w:r>
      <w:r w:rsidR="00BD3B56">
        <w:rPr>
          <w:rFonts w:asciiTheme="majorHAnsi" w:eastAsia="Times New Roman" w:hAnsiTheme="majorHAnsi" w:cstheme="majorHAnsi"/>
          <w:color w:val="000000"/>
        </w:rPr>
        <w:t xml:space="preserve"> &amp;</w:t>
      </w:r>
      <w:r w:rsidRPr="005668D4">
        <w:rPr>
          <w:rFonts w:asciiTheme="majorHAnsi" w:eastAsia="Times New Roman" w:hAnsiTheme="majorHAnsi" w:cstheme="majorHAnsi"/>
          <w:color w:val="000000"/>
        </w:rPr>
        <w:t xml:space="preserve"> </w:t>
      </w:r>
      <w:proofErr w:type="spellStart"/>
      <w:r w:rsidRPr="005668D4">
        <w:rPr>
          <w:rFonts w:asciiTheme="majorHAnsi" w:eastAsia="Times New Roman" w:hAnsiTheme="majorHAnsi" w:cstheme="majorHAnsi"/>
          <w:color w:val="000000"/>
        </w:rPr>
        <w:t>Beaumier</w:t>
      </w:r>
      <w:proofErr w:type="spellEnd"/>
      <w:r w:rsidRPr="005668D4">
        <w:rPr>
          <w:rFonts w:asciiTheme="majorHAnsi" w:eastAsia="Times New Roman" w:hAnsiTheme="majorHAnsi" w:cstheme="majorHAnsi"/>
          <w:color w:val="000000"/>
        </w:rPr>
        <w:t>, M.</w:t>
      </w:r>
      <w:r w:rsidR="00BD3B56">
        <w:rPr>
          <w:rFonts w:asciiTheme="majorHAnsi" w:eastAsia="Times New Roman" w:hAnsiTheme="majorHAnsi" w:cstheme="majorHAnsi"/>
          <w:color w:val="000000"/>
        </w:rPr>
        <w:t xml:space="preserve"> </w:t>
      </w:r>
      <w:r w:rsidRPr="005668D4">
        <w:rPr>
          <w:rFonts w:asciiTheme="majorHAnsi" w:eastAsia="Times New Roman" w:hAnsiTheme="majorHAnsi" w:cstheme="majorHAnsi"/>
          <w:color w:val="000000"/>
        </w:rPr>
        <w:t>(2011). Feeding the family during times of stress: experience and determinants of food insecurity in an Inuit community. </w:t>
      </w:r>
      <w:r w:rsidRPr="005668D4">
        <w:rPr>
          <w:rFonts w:asciiTheme="majorHAnsi" w:eastAsia="Times New Roman" w:hAnsiTheme="majorHAnsi" w:cstheme="majorHAnsi"/>
          <w:i/>
          <w:iCs/>
          <w:color w:val="000000"/>
        </w:rPr>
        <w:t>Geographical Journal</w:t>
      </w:r>
      <w:r w:rsidRPr="005668D4">
        <w:rPr>
          <w:rFonts w:asciiTheme="majorHAnsi" w:eastAsia="Times New Roman" w:hAnsiTheme="majorHAnsi" w:cstheme="majorHAnsi"/>
          <w:color w:val="000000"/>
        </w:rPr>
        <w:t>, </w:t>
      </w:r>
      <w:r w:rsidRPr="005668D4">
        <w:rPr>
          <w:rFonts w:asciiTheme="majorHAnsi" w:eastAsia="Times New Roman" w:hAnsiTheme="majorHAnsi" w:cstheme="majorHAnsi"/>
          <w:i/>
          <w:iCs/>
          <w:color w:val="000000"/>
        </w:rPr>
        <w:t>177</w:t>
      </w:r>
      <w:r w:rsidRPr="005668D4">
        <w:rPr>
          <w:rFonts w:asciiTheme="majorHAnsi" w:eastAsia="Times New Roman" w:hAnsiTheme="majorHAnsi" w:cstheme="majorHAnsi"/>
          <w:color w:val="000000"/>
        </w:rPr>
        <w:t xml:space="preserve">(1), 44–61. </w:t>
      </w:r>
      <w:hyperlink r:id="rId13" w:history="1">
        <w:r w:rsidRPr="005668D4">
          <w:rPr>
            <w:rStyle w:val="Hyperlink"/>
            <w:rFonts w:asciiTheme="majorHAnsi" w:eastAsia="Times New Roman" w:hAnsiTheme="majorHAnsi" w:cstheme="majorHAnsi"/>
          </w:rPr>
          <w:t>https://doi.org/10.1111/j.1475-4959.2010.00374.x</w:t>
        </w:r>
      </w:hyperlink>
      <w:r w:rsidRPr="005668D4">
        <w:rPr>
          <w:rFonts w:asciiTheme="majorHAnsi" w:eastAsia="Times New Roman" w:hAnsiTheme="majorHAnsi" w:cstheme="majorHAnsi"/>
          <w:color w:val="000000"/>
        </w:rPr>
        <w:t xml:space="preserve"> </w:t>
      </w:r>
    </w:p>
    <w:p w14:paraId="2E46B8E5" w14:textId="77777777" w:rsidR="005C361F" w:rsidRPr="005668D4" w:rsidRDefault="005C361F" w:rsidP="00986AD3">
      <w:pPr>
        <w:contextualSpacing/>
        <w:rPr>
          <w:rFonts w:asciiTheme="majorHAnsi" w:eastAsia="Times New Roman" w:hAnsiTheme="majorHAnsi" w:cstheme="majorHAnsi"/>
          <w:color w:val="000000"/>
        </w:rPr>
      </w:pPr>
    </w:p>
    <w:p w14:paraId="03467B6F" w14:textId="303F5E25" w:rsidR="005C361F" w:rsidRPr="005668D4" w:rsidRDefault="005C361F" w:rsidP="00986AD3">
      <w:pPr>
        <w:ind w:left="720" w:hanging="720"/>
        <w:contextualSpacing/>
        <w:rPr>
          <w:rFonts w:asciiTheme="majorHAnsi" w:eastAsia="Times New Roman" w:hAnsiTheme="majorHAnsi" w:cstheme="majorHAnsi"/>
          <w:color w:val="000000"/>
        </w:rPr>
      </w:pPr>
      <w:proofErr w:type="spellStart"/>
      <w:r w:rsidRPr="005668D4">
        <w:rPr>
          <w:rFonts w:asciiTheme="majorHAnsi" w:eastAsia="Times New Roman" w:hAnsiTheme="majorHAnsi" w:cstheme="majorHAnsi"/>
          <w:color w:val="000000"/>
        </w:rPr>
        <w:t>Furgal</w:t>
      </w:r>
      <w:proofErr w:type="spellEnd"/>
      <w:r w:rsidRPr="005668D4">
        <w:rPr>
          <w:rFonts w:asciiTheme="majorHAnsi" w:eastAsia="Times New Roman" w:hAnsiTheme="majorHAnsi" w:cstheme="majorHAnsi"/>
          <w:color w:val="000000"/>
        </w:rPr>
        <w:t xml:space="preserve">, C., </w:t>
      </w:r>
      <w:r w:rsidR="00A73DB8">
        <w:rPr>
          <w:rFonts w:asciiTheme="majorHAnsi" w:eastAsia="Times New Roman" w:hAnsiTheme="majorHAnsi" w:cstheme="majorHAnsi"/>
          <w:color w:val="000000"/>
        </w:rPr>
        <w:t xml:space="preserve">&amp; </w:t>
      </w:r>
      <w:r w:rsidRPr="005668D4">
        <w:rPr>
          <w:rFonts w:asciiTheme="majorHAnsi" w:eastAsia="Times New Roman" w:hAnsiTheme="majorHAnsi" w:cstheme="majorHAnsi"/>
          <w:color w:val="000000"/>
        </w:rPr>
        <w:t xml:space="preserve">Seguin, J. (2006). Climate Change, Health, and Vulnerability in Canadian </w:t>
      </w:r>
      <w:r w:rsidR="008718C4">
        <w:rPr>
          <w:rFonts w:asciiTheme="majorHAnsi" w:eastAsia="Times New Roman" w:hAnsiTheme="majorHAnsi" w:cstheme="majorHAnsi"/>
          <w:color w:val="000000"/>
        </w:rPr>
        <w:t>North</w:t>
      </w:r>
      <w:r w:rsidRPr="005668D4">
        <w:rPr>
          <w:rFonts w:asciiTheme="majorHAnsi" w:eastAsia="Times New Roman" w:hAnsiTheme="majorHAnsi" w:cstheme="majorHAnsi"/>
          <w:color w:val="000000"/>
        </w:rPr>
        <w:t>ern Aboriginal Communities. </w:t>
      </w:r>
      <w:r w:rsidRPr="005668D4">
        <w:rPr>
          <w:rFonts w:asciiTheme="majorHAnsi" w:eastAsia="Times New Roman" w:hAnsiTheme="majorHAnsi" w:cstheme="majorHAnsi"/>
          <w:i/>
          <w:iCs/>
          <w:color w:val="000000"/>
        </w:rPr>
        <w:t>Environmental Health Perspectives</w:t>
      </w:r>
      <w:r w:rsidRPr="005668D4">
        <w:rPr>
          <w:rFonts w:asciiTheme="majorHAnsi" w:eastAsia="Times New Roman" w:hAnsiTheme="majorHAnsi" w:cstheme="majorHAnsi"/>
          <w:color w:val="000000"/>
        </w:rPr>
        <w:t>, </w:t>
      </w:r>
      <w:r w:rsidRPr="005668D4">
        <w:rPr>
          <w:rFonts w:asciiTheme="majorHAnsi" w:eastAsia="Times New Roman" w:hAnsiTheme="majorHAnsi" w:cstheme="majorHAnsi"/>
          <w:i/>
          <w:iCs/>
          <w:color w:val="000000"/>
        </w:rPr>
        <w:t>114</w:t>
      </w:r>
      <w:r w:rsidRPr="005668D4">
        <w:rPr>
          <w:rFonts w:asciiTheme="majorHAnsi" w:eastAsia="Times New Roman" w:hAnsiTheme="majorHAnsi" w:cstheme="majorHAnsi"/>
          <w:color w:val="000000"/>
        </w:rPr>
        <w:t xml:space="preserve">(12), 1964–1970. </w:t>
      </w:r>
      <w:hyperlink r:id="rId14" w:history="1">
        <w:r w:rsidR="005668D4" w:rsidRPr="00255120">
          <w:rPr>
            <w:rStyle w:val="Hyperlink"/>
            <w:rFonts w:asciiTheme="majorHAnsi" w:eastAsia="Times New Roman" w:hAnsiTheme="majorHAnsi" w:cstheme="majorHAnsi"/>
          </w:rPr>
          <w:t>https://doi.org/10.1289/ehp.8433</w:t>
        </w:r>
      </w:hyperlink>
      <w:r w:rsidR="005668D4">
        <w:rPr>
          <w:rFonts w:asciiTheme="majorHAnsi" w:eastAsia="Times New Roman" w:hAnsiTheme="majorHAnsi" w:cstheme="majorHAnsi"/>
          <w:color w:val="000000"/>
        </w:rPr>
        <w:t xml:space="preserve"> </w:t>
      </w:r>
    </w:p>
    <w:p w14:paraId="4D2AF003" w14:textId="77777777" w:rsidR="005C361F" w:rsidRPr="005668D4" w:rsidRDefault="005C361F" w:rsidP="00986AD3">
      <w:pPr>
        <w:ind w:left="720" w:hanging="720"/>
        <w:contextualSpacing/>
        <w:rPr>
          <w:rFonts w:asciiTheme="majorHAnsi" w:eastAsia="Times New Roman" w:hAnsiTheme="majorHAnsi" w:cstheme="majorHAnsi"/>
          <w:color w:val="000000"/>
        </w:rPr>
      </w:pPr>
    </w:p>
    <w:p w14:paraId="648C7169" w14:textId="1B5C08AD" w:rsidR="008A42D3" w:rsidRPr="005668D4" w:rsidRDefault="008A42D3" w:rsidP="00986AD3">
      <w:pPr>
        <w:ind w:left="720" w:hanging="720"/>
        <w:contextualSpacing/>
        <w:rPr>
          <w:rFonts w:asciiTheme="majorHAnsi" w:eastAsia="Times New Roman" w:hAnsiTheme="majorHAnsi" w:cstheme="majorHAnsi"/>
          <w:color w:val="000000"/>
        </w:rPr>
      </w:pPr>
      <w:r w:rsidRPr="005668D4">
        <w:rPr>
          <w:rFonts w:asciiTheme="majorHAnsi" w:eastAsia="Times New Roman" w:hAnsiTheme="majorHAnsi" w:cstheme="majorHAnsi"/>
          <w:color w:val="000000"/>
        </w:rPr>
        <w:t xml:space="preserve">Galloway, T. (2014). Is the Nutrition </w:t>
      </w:r>
      <w:r w:rsidR="008718C4">
        <w:rPr>
          <w:rFonts w:asciiTheme="majorHAnsi" w:eastAsia="Times New Roman" w:hAnsiTheme="majorHAnsi" w:cstheme="majorHAnsi"/>
          <w:color w:val="000000"/>
        </w:rPr>
        <w:t>North</w:t>
      </w:r>
      <w:r w:rsidRPr="005668D4">
        <w:rPr>
          <w:rFonts w:asciiTheme="majorHAnsi" w:eastAsia="Times New Roman" w:hAnsiTheme="majorHAnsi" w:cstheme="majorHAnsi"/>
          <w:color w:val="000000"/>
        </w:rPr>
        <w:t xml:space="preserve"> Canada retail subsidy program meeting the goal of making nutritious and perishable food more accessible and affordable in the </w:t>
      </w:r>
      <w:proofErr w:type="gramStart"/>
      <w:r w:rsidR="008718C4">
        <w:rPr>
          <w:rFonts w:asciiTheme="majorHAnsi" w:eastAsia="Times New Roman" w:hAnsiTheme="majorHAnsi" w:cstheme="majorHAnsi"/>
          <w:color w:val="000000"/>
        </w:rPr>
        <w:t>North</w:t>
      </w:r>
      <w:r w:rsidRPr="005668D4">
        <w:rPr>
          <w:rFonts w:asciiTheme="majorHAnsi" w:eastAsia="Times New Roman" w:hAnsiTheme="majorHAnsi" w:cstheme="majorHAnsi"/>
          <w:color w:val="000000"/>
        </w:rPr>
        <w:t>?.</w:t>
      </w:r>
      <w:proofErr w:type="gramEnd"/>
      <w:r w:rsidRPr="005668D4">
        <w:rPr>
          <w:rFonts w:asciiTheme="majorHAnsi" w:eastAsia="Times New Roman" w:hAnsiTheme="majorHAnsi" w:cstheme="majorHAnsi"/>
          <w:color w:val="000000"/>
        </w:rPr>
        <w:t> </w:t>
      </w:r>
      <w:r w:rsidRPr="005668D4">
        <w:rPr>
          <w:rFonts w:asciiTheme="majorHAnsi" w:eastAsia="Times New Roman" w:hAnsiTheme="majorHAnsi" w:cstheme="majorHAnsi"/>
          <w:i/>
          <w:iCs/>
          <w:color w:val="000000"/>
        </w:rPr>
        <w:t xml:space="preserve">Canadian Journal </w:t>
      </w:r>
      <w:proofErr w:type="gramStart"/>
      <w:r w:rsidRPr="005668D4">
        <w:rPr>
          <w:rFonts w:asciiTheme="majorHAnsi" w:eastAsia="Times New Roman" w:hAnsiTheme="majorHAnsi" w:cstheme="majorHAnsi"/>
          <w:i/>
          <w:iCs/>
          <w:color w:val="000000"/>
        </w:rPr>
        <w:t>Of</w:t>
      </w:r>
      <w:proofErr w:type="gramEnd"/>
      <w:r w:rsidRPr="005668D4">
        <w:rPr>
          <w:rFonts w:asciiTheme="majorHAnsi" w:eastAsia="Times New Roman" w:hAnsiTheme="majorHAnsi" w:cstheme="majorHAnsi"/>
          <w:i/>
          <w:iCs/>
          <w:color w:val="000000"/>
        </w:rPr>
        <w:t xml:space="preserve"> Public Health</w:t>
      </w:r>
      <w:r w:rsidRPr="005668D4">
        <w:rPr>
          <w:rFonts w:asciiTheme="majorHAnsi" w:eastAsia="Times New Roman" w:hAnsiTheme="majorHAnsi" w:cstheme="majorHAnsi"/>
          <w:color w:val="000000"/>
        </w:rPr>
        <w:t>, </w:t>
      </w:r>
      <w:r w:rsidRPr="005668D4">
        <w:rPr>
          <w:rFonts w:asciiTheme="majorHAnsi" w:eastAsia="Times New Roman" w:hAnsiTheme="majorHAnsi" w:cstheme="majorHAnsi"/>
          <w:i/>
          <w:iCs/>
          <w:color w:val="000000"/>
        </w:rPr>
        <w:t>105</w:t>
      </w:r>
      <w:r w:rsidRPr="005668D4">
        <w:rPr>
          <w:rFonts w:asciiTheme="majorHAnsi" w:eastAsia="Times New Roman" w:hAnsiTheme="majorHAnsi" w:cstheme="majorHAnsi"/>
          <w:color w:val="000000"/>
        </w:rPr>
        <w:t xml:space="preserve">(5), e395-e397. </w:t>
      </w:r>
      <w:hyperlink r:id="rId15" w:history="1">
        <w:r w:rsidR="005668D4" w:rsidRPr="00255120">
          <w:rPr>
            <w:rStyle w:val="Hyperlink"/>
            <w:rFonts w:asciiTheme="majorHAnsi" w:eastAsia="Times New Roman" w:hAnsiTheme="majorHAnsi" w:cstheme="majorHAnsi"/>
          </w:rPr>
          <w:t>https://doi.org/10.17269/cjph.105.4624</w:t>
        </w:r>
      </w:hyperlink>
      <w:r w:rsidR="005668D4">
        <w:rPr>
          <w:rFonts w:asciiTheme="majorHAnsi" w:eastAsia="Times New Roman" w:hAnsiTheme="majorHAnsi" w:cstheme="majorHAnsi"/>
          <w:color w:val="000000"/>
        </w:rPr>
        <w:t xml:space="preserve"> </w:t>
      </w:r>
    </w:p>
    <w:p w14:paraId="60F650F3" w14:textId="77777777" w:rsidR="008A42D3" w:rsidRPr="005668D4" w:rsidRDefault="008A42D3" w:rsidP="00986AD3">
      <w:pPr>
        <w:ind w:left="720" w:hanging="720"/>
        <w:contextualSpacing/>
        <w:rPr>
          <w:rFonts w:asciiTheme="majorHAnsi" w:eastAsia="Times New Roman" w:hAnsiTheme="majorHAnsi" w:cstheme="majorHAnsi"/>
          <w:color w:val="000000"/>
        </w:rPr>
      </w:pPr>
    </w:p>
    <w:p w14:paraId="0C5E7545" w14:textId="56903B99" w:rsidR="008A42D3" w:rsidRPr="005668D4" w:rsidRDefault="008A42D3" w:rsidP="00986AD3">
      <w:pPr>
        <w:ind w:left="720" w:hanging="720"/>
        <w:contextualSpacing/>
        <w:rPr>
          <w:rFonts w:asciiTheme="majorHAnsi" w:eastAsia="Times New Roman" w:hAnsiTheme="majorHAnsi" w:cstheme="majorHAnsi"/>
          <w:color w:val="000000"/>
        </w:rPr>
      </w:pPr>
      <w:r w:rsidRPr="005668D4">
        <w:rPr>
          <w:rFonts w:asciiTheme="majorHAnsi" w:eastAsia="Times New Roman" w:hAnsiTheme="majorHAnsi" w:cstheme="majorHAnsi"/>
          <w:color w:val="000000"/>
        </w:rPr>
        <w:t xml:space="preserve">Galloway, T. (2017). Canada’s </w:t>
      </w:r>
      <w:r w:rsidR="008718C4">
        <w:rPr>
          <w:rFonts w:asciiTheme="majorHAnsi" w:eastAsia="Times New Roman" w:hAnsiTheme="majorHAnsi" w:cstheme="majorHAnsi"/>
          <w:color w:val="000000"/>
        </w:rPr>
        <w:t>North</w:t>
      </w:r>
      <w:r w:rsidRPr="005668D4">
        <w:rPr>
          <w:rFonts w:asciiTheme="majorHAnsi" w:eastAsia="Times New Roman" w:hAnsiTheme="majorHAnsi" w:cstheme="majorHAnsi"/>
          <w:color w:val="000000"/>
        </w:rPr>
        <w:t xml:space="preserve">ern food subsidy Nutrition </w:t>
      </w:r>
      <w:r w:rsidR="008718C4">
        <w:rPr>
          <w:rFonts w:asciiTheme="majorHAnsi" w:eastAsia="Times New Roman" w:hAnsiTheme="majorHAnsi" w:cstheme="majorHAnsi"/>
          <w:color w:val="000000"/>
        </w:rPr>
        <w:t>North</w:t>
      </w:r>
      <w:r w:rsidRPr="005668D4">
        <w:rPr>
          <w:rFonts w:asciiTheme="majorHAnsi" w:eastAsia="Times New Roman" w:hAnsiTheme="majorHAnsi" w:cstheme="majorHAnsi"/>
          <w:color w:val="000000"/>
        </w:rPr>
        <w:t xml:space="preserve"> Canada: a comprehensive program evaluation. </w:t>
      </w:r>
      <w:r w:rsidRPr="005668D4">
        <w:rPr>
          <w:rFonts w:asciiTheme="majorHAnsi" w:eastAsia="Times New Roman" w:hAnsiTheme="majorHAnsi" w:cstheme="majorHAnsi"/>
          <w:i/>
          <w:iCs/>
          <w:color w:val="000000"/>
        </w:rPr>
        <w:t xml:space="preserve">International Journal </w:t>
      </w:r>
      <w:proofErr w:type="gramStart"/>
      <w:r w:rsidRPr="005668D4">
        <w:rPr>
          <w:rFonts w:asciiTheme="majorHAnsi" w:eastAsia="Times New Roman" w:hAnsiTheme="majorHAnsi" w:cstheme="majorHAnsi"/>
          <w:i/>
          <w:iCs/>
          <w:color w:val="000000"/>
        </w:rPr>
        <w:t>Of</w:t>
      </w:r>
      <w:proofErr w:type="gramEnd"/>
      <w:r w:rsidRPr="005668D4">
        <w:rPr>
          <w:rFonts w:asciiTheme="majorHAnsi" w:eastAsia="Times New Roman" w:hAnsiTheme="majorHAnsi" w:cstheme="majorHAnsi"/>
          <w:i/>
          <w:iCs/>
          <w:color w:val="000000"/>
        </w:rPr>
        <w:t xml:space="preserve"> Circumpolar Health</w:t>
      </w:r>
      <w:r w:rsidRPr="005668D4">
        <w:rPr>
          <w:rFonts w:asciiTheme="majorHAnsi" w:eastAsia="Times New Roman" w:hAnsiTheme="majorHAnsi" w:cstheme="majorHAnsi"/>
          <w:color w:val="000000"/>
        </w:rPr>
        <w:t>, </w:t>
      </w:r>
      <w:r w:rsidRPr="005668D4">
        <w:rPr>
          <w:rFonts w:asciiTheme="majorHAnsi" w:eastAsia="Times New Roman" w:hAnsiTheme="majorHAnsi" w:cstheme="majorHAnsi"/>
          <w:i/>
          <w:iCs/>
          <w:color w:val="000000"/>
        </w:rPr>
        <w:t>76</w:t>
      </w:r>
      <w:r w:rsidRPr="005668D4">
        <w:rPr>
          <w:rFonts w:asciiTheme="majorHAnsi" w:eastAsia="Times New Roman" w:hAnsiTheme="majorHAnsi" w:cstheme="majorHAnsi"/>
          <w:color w:val="000000"/>
        </w:rPr>
        <w:t xml:space="preserve">(1), 1279451. </w:t>
      </w:r>
      <w:hyperlink r:id="rId16" w:history="1">
        <w:r w:rsidR="005668D4" w:rsidRPr="00255120">
          <w:rPr>
            <w:rStyle w:val="Hyperlink"/>
            <w:rFonts w:asciiTheme="majorHAnsi" w:eastAsia="Times New Roman" w:hAnsiTheme="majorHAnsi" w:cstheme="majorHAnsi"/>
          </w:rPr>
          <w:t>https://doi.org/10.1080/22423982.2017.1279451</w:t>
        </w:r>
      </w:hyperlink>
      <w:r w:rsidR="005668D4">
        <w:rPr>
          <w:rFonts w:asciiTheme="majorHAnsi" w:eastAsia="Times New Roman" w:hAnsiTheme="majorHAnsi" w:cstheme="majorHAnsi"/>
          <w:color w:val="000000"/>
        </w:rPr>
        <w:t xml:space="preserve"> </w:t>
      </w:r>
    </w:p>
    <w:p w14:paraId="16E8CA04" w14:textId="442BE4ED" w:rsidR="001974DF" w:rsidRPr="002B3642" w:rsidRDefault="005668D4" w:rsidP="002B3642">
      <w:pPr>
        <w:ind w:left="720" w:hanging="720"/>
        <w:contextualSpacing/>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p>
    <w:p w14:paraId="4F902E46" w14:textId="77777777" w:rsidR="00A73DB8" w:rsidRDefault="00A73DB8" w:rsidP="00A73DB8">
      <w:pPr>
        <w:autoSpaceDE w:val="0"/>
        <w:autoSpaceDN w:val="0"/>
        <w:adjustRightInd w:val="0"/>
        <w:ind w:left="720" w:hanging="720"/>
        <w:contextualSpacing/>
        <w:rPr>
          <w:rFonts w:asciiTheme="majorHAnsi" w:hAnsiTheme="majorHAnsi" w:cstheme="majorHAnsi"/>
          <w:lang w:val="en-US"/>
        </w:rPr>
      </w:pPr>
      <w:r>
        <w:rPr>
          <w:rFonts w:asciiTheme="majorHAnsi" w:hAnsiTheme="majorHAnsi" w:cstheme="majorHAnsi"/>
          <w:lang w:val="en-US"/>
        </w:rPr>
        <w:t xml:space="preserve">GNWT. (2008). NWT Climate Change Impacts and Adaptation Report. </w:t>
      </w:r>
      <w:r w:rsidRPr="00370D04">
        <w:rPr>
          <w:rFonts w:asciiTheme="majorHAnsi" w:hAnsiTheme="majorHAnsi" w:cstheme="majorHAnsi"/>
          <w:i/>
          <w:lang w:val="en-US"/>
        </w:rPr>
        <w:t xml:space="preserve">Government of </w:t>
      </w:r>
      <w:r>
        <w:rPr>
          <w:rFonts w:asciiTheme="majorHAnsi" w:hAnsiTheme="majorHAnsi" w:cstheme="majorHAnsi"/>
          <w:i/>
          <w:lang w:val="en-US"/>
        </w:rPr>
        <w:t>North</w:t>
      </w:r>
      <w:r w:rsidRPr="00370D04">
        <w:rPr>
          <w:rFonts w:asciiTheme="majorHAnsi" w:hAnsiTheme="majorHAnsi" w:cstheme="majorHAnsi"/>
          <w:i/>
          <w:lang w:val="en-US"/>
        </w:rPr>
        <w:t>west Territories</w:t>
      </w:r>
      <w:r>
        <w:rPr>
          <w:rFonts w:asciiTheme="majorHAnsi" w:hAnsiTheme="majorHAnsi" w:cstheme="majorHAnsi"/>
          <w:lang w:val="en-US"/>
        </w:rPr>
        <w:t xml:space="preserve">, Yellowknife. </w:t>
      </w:r>
    </w:p>
    <w:p w14:paraId="6A8D7361" w14:textId="77777777" w:rsidR="00A73DB8" w:rsidRDefault="00A73DB8" w:rsidP="00986AD3">
      <w:pPr>
        <w:adjustRightInd w:val="0"/>
        <w:ind w:left="720" w:hanging="720"/>
        <w:contextualSpacing/>
        <w:rPr>
          <w:rFonts w:asciiTheme="majorHAnsi" w:eastAsia="Times New Roman" w:hAnsiTheme="majorHAnsi" w:cstheme="majorHAnsi"/>
          <w:color w:val="000000"/>
        </w:rPr>
      </w:pPr>
    </w:p>
    <w:p w14:paraId="7C1673AC" w14:textId="74F15D19" w:rsidR="004619E5" w:rsidRPr="005668D4" w:rsidRDefault="000F42CF" w:rsidP="00986AD3">
      <w:pPr>
        <w:adjustRightInd w:val="0"/>
        <w:ind w:left="720" w:hanging="720"/>
        <w:contextualSpacing/>
        <w:rPr>
          <w:rFonts w:asciiTheme="majorHAnsi" w:eastAsia="Times New Roman" w:hAnsiTheme="majorHAnsi" w:cstheme="majorHAnsi"/>
          <w:color w:val="000000"/>
        </w:rPr>
      </w:pPr>
      <w:r w:rsidRPr="005668D4">
        <w:rPr>
          <w:rFonts w:asciiTheme="majorHAnsi" w:eastAsia="Times New Roman" w:hAnsiTheme="majorHAnsi" w:cstheme="majorHAnsi"/>
          <w:color w:val="000000"/>
        </w:rPr>
        <w:t xml:space="preserve">Griffin, P. (2019). Pacing Climate Precarity: Food, Care and Sovereignty in </w:t>
      </w:r>
      <w:proofErr w:type="spellStart"/>
      <w:r w:rsidRPr="005668D4">
        <w:rPr>
          <w:rFonts w:asciiTheme="majorHAnsi" w:eastAsia="Times New Roman" w:hAnsiTheme="majorHAnsi" w:cstheme="majorHAnsi"/>
          <w:color w:val="000000"/>
        </w:rPr>
        <w:t>Iñupiaq</w:t>
      </w:r>
      <w:proofErr w:type="spellEnd"/>
      <w:r w:rsidRPr="005668D4">
        <w:rPr>
          <w:rFonts w:asciiTheme="majorHAnsi" w:eastAsia="Times New Roman" w:hAnsiTheme="majorHAnsi" w:cstheme="majorHAnsi"/>
          <w:color w:val="000000"/>
        </w:rPr>
        <w:t xml:space="preserve"> Alaska. </w:t>
      </w:r>
      <w:r w:rsidRPr="00EC2164">
        <w:rPr>
          <w:rFonts w:asciiTheme="majorHAnsi" w:eastAsia="Times New Roman" w:hAnsiTheme="majorHAnsi" w:cstheme="majorHAnsi"/>
          <w:i/>
          <w:color w:val="000000"/>
        </w:rPr>
        <w:t>Medical Anthropology</w:t>
      </w:r>
      <w:r w:rsidRPr="005668D4">
        <w:rPr>
          <w:rFonts w:asciiTheme="majorHAnsi" w:eastAsia="Times New Roman" w:hAnsiTheme="majorHAnsi" w:cstheme="majorHAnsi"/>
          <w:color w:val="000000"/>
        </w:rPr>
        <w:t xml:space="preserve">, 1–15. </w:t>
      </w:r>
      <w:hyperlink r:id="rId17" w:history="1">
        <w:r w:rsidRPr="005668D4">
          <w:rPr>
            <w:rStyle w:val="Hyperlink"/>
            <w:rFonts w:asciiTheme="majorHAnsi" w:eastAsia="Times New Roman" w:hAnsiTheme="majorHAnsi" w:cstheme="majorHAnsi"/>
          </w:rPr>
          <w:t>https://doi.org/10.1080/01459740.2019.1643854</w:t>
        </w:r>
      </w:hyperlink>
    </w:p>
    <w:p w14:paraId="12C3AE1E" w14:textId="07A78831" w:rsidR="001974DF" w:rsidRPr="005668D4" w:rsidRDefault="001974DF" w:rsidP="00986AD3">
      <w:pPr>
        <w:adjustRightInd w:val="0"/>
        <w:ind w:left="720" w:hanging="720"/>
        <w:contextualSpacing/>
        <w:rPr>
          <w:rFonts w:asciiTheme="majorHAnsi" w:eastAsia="Times New Roman" w:hAnsiTheme="majorHAnsi" w:cstheme="majorHAnsi"/>
          <w:color w:val="000000"/>
        </w:rPr>
      </w:pPr>
    </w:p>
    <w:p w14:paraId="7BFE668C" w14:textId="694C0BB1" w:rsidR="001974DF" w:rsidRPr="00A73DB8" w:rsidRDefault="00F50626" w:rsidP="00A73DB8">
      <w:pPr>
        <w:adjustRightInd w:val="0"/>
        <w:ind w:left="720" w:hanging="720"/>
        <w:contextualSpacing/>
        <w:rPr>
          <w:rFonts w:asciiTheme="majorHAnsi" w:eastAsia="Times New Roman" w:hAnsiTheme="majorHAnsi" w:cstheme="majorHAnsi"/>
          <w:color w:val="000000"/>
        </w:rPr>
      </w:pPr>
      <w:r w:rsidRPr="005668D4">
        <w:rPr>
          <w:rFonts w:asciiTheme="majorHAnsi" w:eastAsia="Times New Roman" w:hAnsiTheme="majorHAnsi" w:cstheme="majorHAnsi"/>
          <w:color w:val="000000"/>
        </w:rPr>
        <w:t xml:space="preserve">Guo, Y., </w:t>
      </w:r>
      <w:proofErr w:type="spellStart"/>
      <w:r w:rsidRPr="005668D4">
        <w:rPr>
          <w:rFonts w:asciiTheme="majorHAnsi" w:eastAsia="Times New Roman" w:hAnsiTheme="majorHAnsi" w:cstheme="majorHAnsi"/>
          <w:color w:val="000000"/>
        </w:rPr>
        <w:t>Berrang</w:t>
      </w:r>
      <w:proofErr w:type="spellEnd"/>
      <w:r w:rsidRPr="005668D4">
        <w:rPr>
          <w:rFonts w:asciiTheme="majorHAnsi" w:eastAsia="Times New Roman" w:hAnsiTheme="majorHAnsi" w:cstheme="majorHAnsi"/>
          <w:color w:val="000000"/>
        </w:rPr>
        <w:t xml:space="preserve">-Ford, L., Ford, J., </w:t>
      </w:r>
      <w:proofErr w:type="spellStart"/>
      <w:r w:rsidRPr="005668D4">
        <w:rPr>
          <w:rFonts w:asciiTheme="majorHAnsi" w:eastAsia="Times New Roman" w:hAnsiTheme="majorHAnsi" w:cstheme="majorHAnsi"/>
          <w:color w:val="000000"/>
        </w:rPr>
        <w:t>Lardeau</w:t>
      </w:r>
      <w:proofErr w:type="spellEnd"/>
      <w:r w:rsidRPr="005668D4">
        <w:rPr>
          <w:rFonts w:asciiTheme="majorHAnsi" w:eastAsia="Times New Roman" w:hAnsiTheme="majorHAnsi" w:cstheme="majorHAnsi"/>
          <w:color w:val="000000"/>
        </w:rPr>
        <w:t xml:space="preserve">, M., Edge, V., Patterson, K., &amp; Harper, S. (2015). Seasonal prevalence and determinants of food insecurity in Iqaluit, Nunavut. </w:t>
      </w:r>
      <w:r w:rsidRPr="00EC2164">
        <w:rPr>
          <w:rFonts w:asciiTheme="majorHAnsi" w:eastAsia="Times New Roman" w:hAnsiTheme="majorHAnsi" w:cstheme="majorHAnsi"/>
          <w:i/>
          <w:color w:val="000000"/>
        </w:rPr>
        <w:t>International Journal of Circumpolar Health, 74</w:t>
      </w:r>
      <w:r w:rsidRPr="005668D4">
        <w:rPr>
          <w:rFonts w:asciiTheme="majorHAnsi" w:eastAsia="Times New Roman" w:hAnsiTheme="majorHAnsi" w:cstheme="majorHAnsi"/>
          <w:color w:val="000000"/>
        </w:rPr>
        <w:t xml:space="preserve">(1), 27284. </w:t>
      </w:r>
      <w:hyperlink r:id="rId18" w:history="1">
        <w:r w:rsidR="005668D4" w:rsidRPr="00255120">
          <w:rPr>
            <w:rStyle w:val="Hyperlink"/>
            <w:rFonts w:asciiTheme="majorHAnsi" w:eastAsia="Times New Roman" w:hAnsiTheme="majorHAnsi" w:cstheme="majorHAnsi"/>
          </w:rPr>
          <w:t>https://doi.org/10.3402/ijch.v74.27284</w:t>
        </w:r>
      </w:hyperlink>
      <w:r w:rsidR="005668D4">
        <w:rPr>
          <w:rFonts w:asciiTheme="majorHAnsi" w:eastAsia="Times New Roman" w:hAnsiTheme="majorHAnsi" w:cstheme="majorHAnsi"/>
          <w:color w:val="000000"/>
        </w:rPr>
        <w:t xml:space="preserve"> </w:t>
      </w:r>
    </w:p>
    <w:p w14:paraId="5F1D3E60" w14:textId="77777777" w:rsidR="00370D04" w:rsidRDefault="00370D04" w:rsidP="00600D5F">
      <w:pPr>
        <w:autoSpaceDE w:val="0"/>
        <w:autoSpaceDN w:val="0"/>
        <w:adjustRightInd w:val="0"/>
        <w:contextualSpacing/>
        <w:rPr>
          <w:rFonts w:asciiTheme="majorHAnsi" w:hAnsiTheme="majorHAnsi" w:cstheme="majorHAnsi"/>
          <w:lang w:val="en-US"/>
        </w:rPr>
      </w:pPr>
    </w:p>
    <w:p w14:paraId="05F980B0" w14:textId="0B6D65AE" w:rsidR="00877BB1" w:rsidRDefault="00877BB1" w:rsidP="00877BB1">
      <w:pPr>
        <w:autoSpaceDE w:val="0"/>
        <w:autoSpaceDN w:val="0"/>
        <w:adjustRightInd w:val="0"/>
        <w:contextualSpacing/>
        <w:rPr>
          <w:rFonts w:asciiTheme="majorHAnsi" w:hAnsiTheme="majorHAnsi" w:cstheme="majorHAnsi"/>
        </w:rPr>
      </w:pPr>
      <w:r w:rsidRPr="00877BB1">
        <w:rPr>
          <w:rFonts w:asciiTheme="majorHAnsi" w:hAnsiTheme="majorHAnsi" w:cstheme="majorHAnsi"/>
        </w:rPr>
        <w:t>Hamlet of Tuktoyaktuk</w:t>
      </w:r>
      <w:r>
        <w:rPr>
          <w:rFonts w:asciiTheme="majorHAnsi" w:hAnsiTheme="majorHAnsi" w:cstheme="majorHAnsi"/>
        </w:rPr>
        <w:t>.</w:t>
      </w:r>
      <w:r w:rsidRPr="00877BB1">
        <w:rPr>
          <w:rFonts w:asciiTheme="majorHAnsi" w:hAnsiTheme="majorHAnsi" w:cstheme="majorHAnsi"/>
        </w:rPr>
        <w:t xml:space="preserve"> (1984)</w:t>
      </w:r>
      <w:r>
        <w:rPr>
          <w:rFonts w:asciiTheme="majorHAnsi" w:hAnsiTheme="majorHAnsi" w:cstheme="majorHAnsi"/>
        </w:rPr>
        <w:t>.</w:t>
      </w:r>
      <w:r w:rsidRPr="00877BB1">
        <w:rPr>
          <w:rFonts w:asciiTheme="majorHAnsi" w:hAnsiTheme="majorHAnsi" w:cstheme="majorHAnsi"/>
        </w:rPr>
        <w:t xml:space="preserve"> Community plan for the Hamlet of Tuktoyaktuk, N.W.T.</w:t>
      </w:r>
    </w:p>
    <w:p w14:paraId="31847AB5" w14:textId="77777777" w:rsidR="00370D04" w:rsidRDefault="00370D04" w:rsidP="00370D04">
      <w:pPr>
        <w:autoSpaceDE w:val="0"/>
        <w:autoSpaceDN w:val="0"/>
        <w:adjustRightInd w:val="0"/>
        <w:contextualSpacing/>
        <w:rPr>
          <w:rFonts w:asciiTheme="majorHAnsi" w:hAnsiTheme="majorHAnsi" w:cstheme="majorHAnsi"/>
        </w:rPr>
      </w:pPr>
    </w:p>
    <w:p w14:paraId="1BB4ADE6" w14:textId="5BDFA46B" w:rsidR="00370D04" w:rsidRPr="00370D04" w:rsidRDefault="00370D04" w:rsidP="007833E8">
      <w:pPr>
        <w:autoSpaceDE w:val="0"/>
        <w:autoSpaceDN w:val="0"/>
        <w:adjustRightInd w:val="0"/>
        <w:ind w:left="720" w:hanging="720"/>
        <w:contextualSpacing/>
        <w:rPr>
          <w:rFonts w:asciiTheme="majorHAnsi" w:hAnsiTheme="majorHAnsi" w:cstheme="majorHAnsi"/>
        </w:rPr>
      </w:pPr>
      <w:r w:rsidRPr="00370D04">
        <w:rPr>
          <w:rFonts w:asciiTheme="majorHAnsi" w:hAnsiTheme="majorHAnsi" w:cstheme="majorHAnsi"/>
        </w:rPr>
        <w:t>Harwood, L.</w:t>
      </w:r>
      <w:r w:rsidR="00A73DB8">
        <w:rPr>
          <w:rFonts w:asciiTheme="majorHAnsi" w:hAnsiTheme="majorHAnsi" w:cstheme="majorHAnsi"/>
        </w:rPr>
        <w:t xml:space="preserve"> </w:t>
      </w:r>
      <w:r w:rsidRPr="00370D04">
        <w:rPr>
          <w:rFonts w:asciiTheme="majorHAnsi" w:hAnsiTheme="majorHAnsi" w:cstheme="majorHAnsi"/>
        </w:rPr>
        <w:t xml:space="preserve">A., Norton, P., Day, B., </w:t>
      </w:r>
      <w:r w:rsidR="00EC2164">
        <w:rPr>
          <w:rFonts w:asciiTheme="majorHAnsi" w:hAnsiTheme="majorHAnsi" w:cstheme="majorHAnsi"/>
        </w:rPr>
        <w:t>&amp;</w:t>
      </w:r>
      <w:r w:rsidRPr="00370D04">
        <w:rPr>
          <w:rFonts w:asciiTheme="majorHAnsi" w:hAnsiTheme="majorHAnsi" w:cstheme="majorHAnsi"/>
        </w:rPr>
        <w:t xml:space="preserve"> Hall, P.</w:t>
      </w:r>
      <w:r w:rsidR="00552EF0">
        <w:rPr>
          <w:rFonts w:asciiTheme="majorHAnsi" w:hAnsiTheme="majorHAnsi" w:cstheme="majorHAnsi"/>
        </w:rPr>
        <w:t xml:space="preserve"> </w:t>
      </w:r>
      <w:r w:rsidRPr="00370D04">
        <w:rPr>
          <w:rFonts w:asciiTheme="majorHAnsi" w:hAnsiTheme="majorHAnsi" w:cstheme="majorHAnsi"/>
        </w:rPr>
        <w:t xml:space="preserve">A. </w:t>
      </w:r>
      <w:r w:rsidR="00EC2164">
        <w:rPr>
          <w:rFonts w:asciiTheme="majorHAnsi" w:hAnsiTheme="majorHAnsi" w:cstheme="majorHAnsi"/>
        </w:rPr>
        <w:t>(</w:t>
      </w:r>
      <w:r w:rsidRPr="00370D04">
        <w:rPr>
          <w:rFonts w:asciiTheme="majorHAnsi" w:hAnsiTheme="majorHAnsi" w:cstheme="majorHAnsi"/>
        </w:rPr>
        <w:t>2002</w:t>
      </w:r>
      <w:r w:rsidR="00EC2164">
        <w:rPr>
          <w:rFonts w:asciiTheme="majorHAnsi" w:hAnsiTheme="majorHAnsi" w:cstheme="majorHAnsi"/>
        </w:rPr>
        <w:t>)</w:t>
      </w:r>
      <w:r w:rsidRPr="00370D04">
        <w:rPr>
          <w:rFonts w:asciiTheme="majorHAnsi" w:hAnsiTheme="majorHAnsi" w:cstheme="majorHAnsi"/>
        </w:rPr>
        <w:t xml:space="preserve">. The harvest of beluga whales in Canada’s Western Arctic: hunter-based monitoring of the size and composition of the catch. </w:t>
      </w:r>
      <w:r w:rsidRPr="00EC2164">
        <w:rPr>
          <w:rFonts w:asciiTheme="majorHAnsi" w:hAnsiTheme="majorHAnsi" w:cstheme="majorHAnsi"/>
          <w:i/>
        </w:rPr>
        <w:t>Arctic</w:t>
      </w:r>
      <w:r w:rsidR="00EC2164">
        <w:rPr>
          <w:rFonts w:asciiTheme="majorHAnsi" w:hAnsiTheme="majorHAnsi" w:cstheme="majorHAnsi"/>
          <w:i/>
        </w:rPr>
        <w:t>,</w:t>
      </w:r>
      <w:r w:rsidRPr="00EC2164">
        <w:rPr>
          <w:rFonts w:asciiTheme="majorHAnsi" w:hAnsiTheme="majorHAnsi" w:cstheme="majorHAnsi"/>
          <w:i/>
        </w:rPr>
        <w:t xml:space="preserve"> 55</w:t>
      </w:r>
      <w:r w:rsidRPr="00370D04">
        <w:rPr>
          <w:rFonts w:asciiTheme="majorHAnsi" w:hAnsiTheme="majorHAnsi" w:cstheme="majorHAnsi"/>
        </w:rPr>
        <w:t xml:space="preserve">(1): 10–20. </w:t>
      </w:r>
      <w:hyperlink r:id="rId19" w:history="1">
        <w:r w:rsidR="00EC2164" w:rsidRPr="00255120">
          <w:rPr>
            <w:rStyle w:val="Hyperlink"/>
            <w:rFonts w:asciiTheme="majorHAnsi" w:hAnsiTheme="majorHAnsi" w:cstheme="majorHAnsi"/>
          </w:rPr>
          <w:t>https://doi.org/10.14430/arctic687</w:t>
        </w:r>
      </w:hyperlink>
      <w:r w:rsidR="00EC2164">
        <w:rPr>
          <w:rFonts w:asciiTheme="majorHAnsi" w:hAnsiTheme="majorHAnsi" w:cstheme="majorHAnsi"/>
        </w:rPr>
        <w:t xml:space="preserve"> </w:t>
      </w:r>
    </w:p>
    <w:p w14:paraId="7574D6F3" w14:textId="77777777" w:rsidR="00877BB1" w:rsidRPr="005668D4" w:rsidRDefault="00877BB1" w:rsidP="00600D5F">
      <w:pPr>
        <w:autoSpaceDE w:val="0"/>
        <w:autoSpaceDN w:val="0"/>
        <w:adjustRightInd w:val="0"/>
        <w:contextualSpacing/>
        <w:rPr>
          <w:rFonts w:asciiTheme="majorHAnsi" w:hAnsiTheme="majorHAnsi" w:cstheme="majorHAnsi"/>
          <w:lang w:val="en-US"/>
        </w:rPr>
      </w:pPr>
    </w:p>
    <w:p w14:paraId="029F1128" w14:textId="0495266C" w:rsidR="00CF3F22" w:rsidRPr="005668D4" w:rsidRDefault="00CF3F22" w:rsidP="00986AD3">
      <w:pPr>
        <w:ind w:left="720" w:hanging="720"/>
        <w:contextualSpacing/>
        <w:rPr>
          <w:rFonts w:asciiTheme="majorHAnsi" w:eastAsia="Times New Roman" w:hAnsiTheme="majorHAnsi" w:cstheme="majorHAnsi"/>
          <w:color w:val="000000"/>
        </w:rPr>
      </w:pPr>
      <w:r w:rsidRPr="005668D4">
        <w:rPr>
          <w:rFonts w:asciiTheme="majorHAnsi" w:eastAsia="Times New Roman" w:hAnsiTheme="majorHAnsi" w:cstheme="majorHAnsi"/>
          <w:color w:val="000000"/>
        </w:rPr>
        <w:t xml:space="preserve">Kenny, T., </w:t>
      </w:r>
      <w:proofErr w:type="spellStart"/>
      <w:r w:rsidRPr="005668D4">
        <w:rPr>
          <w:rFonts w:asciiTheme="majorHAnsi" w:eastAsia="Times New Roman" w:hAnsiTheme="majorHAnsi" w:cstheme="majorHAnsi"/>
          <w:color w:val="000000"/>
        </w:rPr>
        <w:t>Fillion</w:t>
      </w:r>
      <w:proofErr w:type="spellEnd"/>
      <w:r w:rsidRPr="005668D4">
        <w:rPr>
          <w:rFonts w:asciiTheme="majorHAnsi" w:eastAsia="Times New Roman" w:hAnsiTheme="majorHAnsi" w:cstheme="majorHAnsi"/>
          <w:color w:val="000000"/>
        </w:rPr>
        <w:t xml:space="preserve">, M., MacLean, J., </w:t>
      </w:r>
      <w:proofErr w:type="spellStart"/>
      <w:r w:rsidRPr="005668D4">
        <w:rPr>
          <w:rFonts w:asciiTheme="majorHAnsi" w:eastAsia="Times New Roman" w:hAnsiTheme="majorHAnsi" w:cstheme="majorHAnsi"/>
          <w:color w:val="000000"/>
        </w:rPr>
        <w:t>Wesche</w:t>
      </w:r>
      <w:proofErr w:type="spellEnd"/>
      <w:r w:rsidRPr="005668D4">
        <w:rPr>
          <w:rFonts w:asciiTheme="majorHAnsi" w:eastAsia="Times New Roman" w:hAnsiTheme="majorHAnsi" w:cstheme="majorHAnsi"/>
          <w:color w:val="000000"/>
        </w:rPr>
        <w:t>, S., &amp; Chan, H. (2018). Calories are cheap, nutrients are expensive -- The challenge of healthy living in Arctic communities.</w:t>
      </w:r>
      <w:r w:rsidR="00AB49AE">
        <w:rPr>
          <w:rFonts w:asciiTheme="majorHAnsi" w:eastAsia="Times New Roman" w:hAnsiTheme="majorHAnsi" w:cstheme="majorHAnsi"/>
          <w:color w:val="000000"/>
        </w:rPr>
        <w:t xml:space="preserve"> </w:t>
      </w:r>
      <w:r w:rsidRPr="005668D4">
        <w:rPr>
          <w:rFonts w:asciiTheme="majorHAnsi" w:eastAsia="Times New Roman" w:hAnsiTheme="majorHAnsi" w:cstheme="majorHAnsi"/>
          <w:color w:val="000000"/>
        </w:rPr>
        <w:t xml:space="preserve">(Report). </w:t>
      </w:r>
      <w:r w:rsidRPr="00EC2164">
        <w:rPr>
          <w:rFonts w:asciiTheme="majorHAnsi" w:eastAsia="Times New Roman" w:hAnsiTheme="majorHAnsi" w:cstheme="majorHAnsi"/>
          <w:i/>
          <w:color w:val="000000"/>
        </w:rPr>
        <w:t>Food Policy</w:t>
      </w:r>
      <w:r w:rsidRPr="005668D4">
        <w:rPr>
          <w:rFonts w:asciiTheme="majorHAnsi" w:eastAsia="Times New Roman" w:hAnsiTheme="majorHAnsi" w:cstheme="majorHAnsi"/>
          <w:color w:val="000000"/>
        </w:rPr>
        <w:t>,</w:t>
      </w:r>
      <w:r w:rsidRPr="00EC2164">
        <w:rPr>
          <w:rFonts w:asciiTheme="majorHAnsi" w:eastAsia="Times New Roman" w:hAnsiTheme="majorHAnsi" w:cstheme="majorHAnsi"/>
          <w:i/>
          <w:color w:val="000000"/>
        </w:rPr>
        <w:t xml:space="preserve"> 80</w:t>
      </w:r>
      <w:r w:rsidRPr="005668D4">
        <w:rPr>
          <w:rFonts w:asciiTheme="majorHAnsi" w:eastAsia="Times New Roman" w:hAnsiTheme="majorHAnsi" w:cstheme="majorHAnsi"/>
          <w:color w:val="000000"/>
        </w:rPr>
        <w:t xml:space="preserve">, 39–54. </w:t>
      </w:r>
      <w:hyperlink r:id="rId20" w:history="1">
        <w:r w:rsidR="005668D4" w:rsidRPr="00255120">
          <w:rPr>
            <w:rStyle w:val="Hyperlink"/>
            <w:rFonts w:asciiTheme="majorHAnsi" w:eastAsia="Times New Roman" w:hAnsiTheme="majorHAnsi" w:cstheme="majorHAnsi"/>
          </w:rPr>
          <w:t>https://doi.org/10.1016/j.foodpol.2018.08.006</w:t>
        </w:r>
      </w:hyperlink>
      <w:r w:rsidR="005668D4">
        <w:rPr>
          <w:rFonts w:asciiTheme="majorHAnsi" w:eastAsia="Times New Roman" w:hAnsiTheme="majorHAnsi" w:cstheme="majorHAnsi"/>
          <w:color w:val="000000"/>
        </w:rPr>
        <w:t xml:space="preserve"> </w:t>
      </w:r>
    </w:p>
    <w:p w14:paraId="1618EC53" w14:textId="4262E678" w:rsidR="00CF3F22" w:rsidRPr="005668D4" w:rsidRDefault="00CF3F22" w:rsidP="00986AD3">
      <w:pPr>
        <w:autoSpaceDE w:val="0"/>
        <w:autoSpaceDN w:val="0"/>
        <w:adjustRightInd w:val="0"/>
        <w:ind w:left="720" w:hanging="720"/>
        <w:contextualSpacing/>
        <w:rPr>
          <w:rFonts w:asciiTheme="majorHAnsi" w:hAnsiTheme="majorHAnsi" w:cstheme="majorHAnsi"/>
          <w:lang w:val="en-US"/>
        </w:rPr>
      </w:pPr>
    </w:p>
    <w:p w14:paraId="4546D7CD" w14:textId="2BDA2E81" w:rsidR="00266958" w:rsidRPr="005668D4" w:rsidRDefault="00266958" w:rsidP="00986AD3">
      <w:pPr>
        <w:ind w:left="720" w:hanging="720"/>
        <w:contextualSpacing/>
        <w:rPr>
          <w:rFonts w:asciiTheme="majorHAnsi" w:eastAsia="Times New Roman" w:hAnsiTheme="majorHAnsi" w:cstheme="majorHAnsi"/>
          <w:color w:val="000000"/>
        </w:rPr>
      </w:pPr>
      <w:r w:rsidRPr="005668D4">
        <w:rPr>
          <w:rFonts w:asciiTheme="majorHAnsi" w:eastAsia="Times New Roman" w:hAnsiTheme="majorHAnsi" w:cstheme="majorHAnsi"/>
          <w:color w:val="000000"/>
        </w:rPr>
        <w:lastRenderedPageBreak/>
        <w:t>Kinloch, D., Kuhnlein, H., &amp; Muir, D. (1992). Inuit foods and diet: a preliminary assessment of benefits and risks. </w:t>
      </w:r>
      <w:r w:rsidRPr="005668D4">
        <w:rPr>
          <w:rFonts w:asciiTheme="majorHAnsi" w:eastAsia="Times New Roman" w:hAnsiTheme="majorHAnsi" w:cstheme="majorHAnsi"/>
          <w:i/>
          <w:iCs/>
          <w:color w:val="000000"/>
        </w:rPr>
        <w:t xml:space="preserve">Science </w:t>
      </w:r>
      <w:r w:rsidR="00EC2164">
        <w:rPr>
          <w:rFonts w:asciiTheme="majorHAnsi" w:eastAsia="Times New Roman" w:hAnsiTheme="majorHAnsi" w:cstheme="majorHAnsi"/>
          <w:i/>
          <w:iCs/>
          <w:color w:val="000000"/>
        </w:rPr>
        <w:t>o</w:t>
      </w:r>
      <w:r w:rsidRPr="005668D4">
        <w:rPr>
          <w:rFonts w:asciiTheme="majorHAnsi" w:eastAsia="Times New Roman" w:hAnsiTheme="majorHAnsi" w:cstheme="majorHAnsi"/>
          <w:i/>
          <w:iCs/>
          <w:color w:val="000000"/>
        </w:rPr>
        <w:t>f The Total Environment</w:t>
      </w:r>
      <w:r w:rsidRPr="005668D4">
        <w:rPr>
          <w:rFonts w:asciiTheme="majorHAnsi" w:eastAsia="Times New Roman" w:hAnsiTheme="majorHAnsi" w:cstheme="majorHAnsi"/>
          <w:color w:val="000000"/>
        </w:rPr>
        <w:t>, </w:t>
      </w:r>
      <w:r w:rsidRPr="005668D4">
        <w:rPr>
          <w:rFonts w:asciiTheme="majorHAnsi" w:eastAsia="Times New Roman" w:hAnsiTheme="majorHAnsi" w:cstheme="majorHAnsi"/>
          <w:i/>
          <w:iCs/>
          <w:color w:val="000000"/>
        </w:rPr>
        <w:t>122</w:t>
      </w:r>
      <w:r w:rsidRPr="005668D4">
        <w:rPr>
          <w:rFonts w:asciiTheme="majorHAnsi" w:eastAsia="Times New Roman" w:hAnsiTheme="majorHAnsi" w:cstheme="majorHAnsi"/>
          <w:color w:val="000000"/>
        </w:rPr>
        <w:t xml:space="preserve">(1-2), 247-278. </w:t>
      </w:r>
      <w:hyperlink r:id="rId21" w:history="1">
        <w:r w:rsidR="005668D4" w:rsidRPr="00255120">
          <w:rPr>
            <w:rStyle w:val="Hyperlink"/>
            <w:rFonts w:asciiTheme="majorHAnsi" w:eastAsia="Times New Roman" w:hAnsiTheme="majorHAnsi" w:cstheme="majorHAnsi"/>
          </w:rPr>
          <w:t>https://doi.org/10.1016/0048-9697(92)90249-r</w:t>
        </w:r>
      </w:hyperlink>
      <w:r w:rsidR="005668D4">
        <w:rPr>
          <w:rFonts w:asciiTheme="majorHAnsi" w:eastAsia="Times New Roman" w:hAnsiTheme="majorHAnsi" w:cstheme="majorHAnsi"/>
          <w:color w:val="000000"/>
        </w:rPr>
        <w:t xml:space="preserve"> </w:t>
      </w:r>
    </w:p>
    <w:p w14:paraId="1A657C6B" w14:textId="77777777" w:rsidR="00266958" w:rsidRPr="005668D4" w:rsidRDefault="00266958" w:rsidP="00986AD3">
      <w:pPr>
        <w:autoSpaceDE w:val="0"/>
        <w:autoSpaceDN w:val="0"/>
        <w:adjustRightInd w:val="0"/>
        <w:contextualSpacing/>
        <w:rPr>
          <w:rFonts w:asciiTheme="majorHAnsi" w:hAnsiTheme="majorHAnsi" w:cstheme="majorHAnsi"/>
          <w:lang w:val="en-US"/>
        </w:rPr>
      </w:pPr>
    </w:p>
    <w:p w14:paraId="163E1CB9" w14:textId="3F3E5192" w:rsidR="00600D5F" w:rsidRDefault="003111DB" w:rsidP="00986AD3">
      <w:pPr>
        <w:ind w:left="720" w:hanging="720"/>
        <w:contextualSpacing/>
        <w:rPr>
          <w:rFonts w:asciiTheme="majorHAnsi" w:eastAsia="Times New Roman" w:hAnsiTheme="majorHAnsi" w:cstheme="majorHAnsi"/>
          <w:color w:val="000000"/>
        </w:rPr>
      </w:pPr>
      <w:r w:rsidRPr="005668D4">
        <w:rPr>
          <w:rFonts w:asciiTheme="majorHAnsi" w:eastAsia="Times New Roman" w:hAnsiTheme="majorHAnsi" w:cstheme="majorHAnsi"/>
          <w:color w:val="000000"/>
        </w:rPr>
        <w:t xml:space="preserve">Kuhnlein, H., &amp; Chan, H. (2000). Environment and contaminants in traditional food systems of </w:t>
      </w:r>
      <w:r w:rsidR="008718C4">
        <w:rPr>
          <w:rFonts w:asciiTheme="majorHAnsi" w:eastAsia="Times New Roman" w:hAnsiTheme="majorHAnsi" w:cstheme="majorHAnsi"/>
          <w:color w:val="000000"/>
        </w:rPr>
        <w:t>North</w:t>
      </w:r>
      <w:r w:rsidRPr="005668D4">
        <w:rPr>
          <w:rFonts w:asciiTheme="majorHAnsi" w:eastAsia="Times New Roman" w:hAnsiTheme="majorHAnsi" w:cstheme="majorHAnsi"/>
          <w:color w:val="000000"/>
        </w:rPr>
        <w:t>ern Indigenous Peoples. </w:t>
      </w:r>
      <w:r w:rsidRPr="005668D4">
        <w:rPr>
          <w:rFonts w:asciiTheme="majorHAnsi" w:eastAsia="Times New Roman" w:hAnsiTheme="majorHAnsi" w:cstheme="majorHAnsi"/>
          <w:i/>
          <w:iCs/>
          <w:color w:val="000000"/>
        </w:rPr>
        <w:t xml:space="preserve">Annual Review </w:t>
      </w:r>
      <w:r w:rsidR="005668D4" w:rsidRPr="005668D4">
        <w:rPr>
          <w:rFonts w:asciiTheme="majorHAnsi" w:eastAsia="Times New Roman" w:hAnsiTheme="majorHAnsi" w:cstheme="majorHAnsi"/>
          <w:i/>
          <w:iCs/>
          <w:color w:val="000000"/>
        </w:rPr>
        <w:t>of</w:t>
      </w:r>
      <w:r w:rsidRPr="005668D4">
        <w:rPr>
          <w:rFonts w:asciiTheme="majorHAnsi" w:eastAsia="Times New Roman" w:hAnsiTheme="majorHAnsi" w:cstheme="majorHAnsi"/>
          <w:i/>
          <w:iCs/>
          <w:color w:val="000000"/>
        </w:rPr>
        <w:t xml:space="preserve"> Nutrition</w:t>
      </w:r>
      <w:r w:rsidRPr="005668D4">
        <w:rPr>
          <w:rFonts w:asciiTheme="majorHAnsi" w:eastAsia="Times New Roman" w:hAnsiTheme="majorHAnsi" w:cstheme="majorHAnsi"/>
          <w:color w:val="000000"/>
        </w:rPr>
        <w:t>, </w:t>
      </w:r>
      <w:r w:rsidRPr="005668D4">
        <w:rPr>
          <w:rFonts w:asciiTheme="majorHAnsi" w:eastAsia="Times New Roman" w:hAnsiTheme="majorHAnsi" w:cstheme="majorHAnsi"/>
          <w:i/>
          <w:iCs/>
          <w:color w:val="000000"/>
        </w:rPr>
        <w:t>20</w:t>
      </w:r>
      <w:r w:rsidRPr="005668D4">
        <w:rPr>
          <w:rFonts w:asciiTheme="majorHAnsi" w:eastAsia="Times New Roman" w:hAnsiTheme="majorHAnsi" w:cstheme="majorHAnsi"/>
          <w:color w:val="000000"/>
        </w:rPr>
        <w:t xml:space="preserve">(1), 595-626. </w:t>
      </w:r>
      <w:hyperlink r:id="rId22" w:history="1">
        <w:r w:rsidR="005668D4" w:rsidRPr="00255120">
          <w:rPr>
            <w:rStyle w:val="Hyperlink"/>
            <w:rFonts w:asciiTheme="majorHAnsi" w:eastAsia="Times New Roman" w:hAnsiTheme="majorHAnsi" w:cstheme="majorHAnsi"/>
          </w:rPr>
          <w:t>https://doi.org/10.1146/annurev.nutr.20.1.595</w:t>
        </w:r>
      </w:hyperlink>
      <w:r w:rsidR="005668D4">
        <w:rPr>
          <w:rFonts w:asciiTheme="majorHAnsi" w:eastAsia="Times New Roman" w:hAnsiTheme="majorHAnsi" w:cstheme="majorHAnsi"/>
          <w:color w:val="000000"/>
        </w:rPr>
        <w:t xml:space="preserve"> </w:t>
      </w:r>
    </w:p>
    <w:p w14:paraId="2D5FADFB" w14:textId="77777777" w:rsidR="00600D5F" w:rsidRDefault="00600D5F" w:rsidP="00986AD3">
      <w:pPr>
        <w:ind w:left="720" w:hanging="720"/>
        <w:contextualSpacing/>
        <w:rPr>
          <w:rFonts w:asciiTheme="majorHAnsi" w:eastAsia="Times New Roman" w:hAnsiTheme="majorHAnsi" w:cstheme="majorHAnsi"/>
          <w:color w:val="000000"/>
        </w:rPr>
      </w:pPr>
    </w:p>
    <w:p w14:paraId="34F91738" w14:textId="7AC275A9" w:rsidR="00600D5F" w:rsidRPr="00600D5F" w:rsidRDefault="00600D5F" w:rsidP="00600D5F">
      <w:pPr>
        <w:ind w:left="720" w:hanging="720"/>
        <w:contextualSpacing/>
        <w:rPr>
          <w:rFonts w:asciiTheme="majorHAnsi" w:eastAsia="Times New Roman" w:hAnsiTheme="majorHAnsi" w:cstheme="majorHAnsi"/>
          <w:color w:val="000000"/>
        </w:rPr>
      </w:pPr>
      <w:r w:rsidRPr="00600D5F">
        <w:rPr>
          <w:rFonts w:asciiTheme="majorHAnsi" w:eastAsia="Times New Roman" w:hAnsiTheme="majorHAnsi" w:cstheme="majorHAnsi"/>
          <w:color w:val="000000"/>
        </w:rPr>
        <w:t xml:space="preserve">Kuhnlein, H., &amp; </w:t>
      </w:r>
      <w:proofErr w:type="spellStart"/>
      <w:r w:rsidRPr="00600D5F">
        <w:rPr>
          <w:rFonts w:asciiTheme="majorHAnsi" w:eastAsia="Times New Roman" w:hAnsiTheme="majorHAnsi" w:cstheme="majorHAnsi"/>
          <w:color w:val="000000"/>
        </w:rPr>
        <w:t>Receveur</w:t>
      </w:r>
      <w:proofErr w:type="spellEnd"/>
      <w:r w:rsidRPr="00600D5F">
        <w:rPr>
          <w:rFonts w:asciiTheme="majorHAnsi" w:eastAsia="Times New Roman" w:hAnsiTheme="majorHAnsi" w:cstheme="majorHAnsi"/>
          <w:color w:val="000000"/>
        </w:rPr>
        <w:t>, O. (1996). Dietary Change and Traditional Food Systems of Indigenous Peoples. </w:t>
      </w:r>
      <w:r w:rsidRPr="00600D5F">
        <w:rPr>
          <w:rFonts w:asciiTheme="majorHAnsi" w:eastAsia="Times New Roman" w:hAnsiTheme="majorHAnsi" w:cstheme="majorHAnsi"/>
          <w:i/>
          <w:iCs/>
          <w:color w:val="000000"/>
        </w:rPr>
        <w:t xml:space="preserve">Annual Review </w:t>
      </w:r>
      <w:r>
        <w:rPr>
          <w:rFonts w:asciiTheme="majorHAnsi" w:eastAsia="Times New Roman" w:hAnsiTheme="majorHAnsi" w:cstheme="majorHAnsi"/>
          <w:i/>
          <w:iCs/>
          <w:color w:val="000000"/>
        </w:rPr>
        <w:t>o</w:t>
      </w:r>
      <w:r w:rsidRPr="00600D5F">
        <w:rPr>
          <w:rFonts w:asciiTheme="majorHAnsi" w:eastAsia="Times New Roman" w:hAnsiTheme="majorHAnsi" w:cstheme="majorHAnsi"/>
          <w:i/>
          <w:iCs/>
          <w:color w:val="000000"/>
        </w:rPr>
        <w:t>f Nutrition</w:t>
      </w:r>
      <w:r w:rsidRPr="00600D5F">
        <w:rPr>
          <w:rFonts w:asciiTheme="majorHAnsi" w:eastAsia="Times New Roman" w:hAnsiTheme="majorHAnsi" w:cstheme="majorHAnsi"/>
          <w:color w:val="000000"/>
        </w:rPr>
        <w:t>, </w:t>
      </w:r>
      <w:r w:rsidRPr="00600D5F">
        <w:rPr>
          <w:rFonts w:asciiTheme="majorHAnsi" w:eastAsia="Times New Roman" w:hAnsiTheme="majorHAnsi" w:cstheme="majorHAnsi"/>
          <w:i/>
          <w:iCs/>
          <w:color w:val="000000"/>
        </w:rPr>
        <w:t>16</w:t>
      </w:r>
      <w:r w:rsidRPr="00600D5F">
        <w:rPr>
          <w:rFonts w:asciiTheme="majorHAnsi" w:eastAsia="Times New Roman" w:hAnsiTheme="majorHAnsi" w:cstheme="majorHAnsi"/>
          <w:color w:val="000000"/>
        </w:rPr>
        <w:t xml:space="preserve">(1), 417-442. </w:t>
      </w:r>
      <w:hyperlink r:id="rId23" w:history="1">
        <w:r w:rsidRPr="00255120">
          <w:rPr>
            <w:rStyle w:val="Hyperlink"/>
            <w:rFonts w:asciiTheme="majorHAnsi" w:eastAsia="Times New Roman" w:hAnsiTheme="majorHAnsi" w:cstheme="majorHAnsi"/>
          </w:rPr>
          <w:t>https://doi.org/10.1146/annurev.nu.16.070196.002221</w:t>
        </w:r>
      </w:hyperlink>
      <w:r>
        <w:rPr>
          <w:rFonts w:asciiTheme="majorHAnsi" w:eastAsia="Times New Roman" w:hAnsiTheme="majorHAnsi" w:cstheme="majorHAnsi"/>
          <w:color w:val="000000"/>
        </w:rPr>
        <w:t xml:space="preserve"> </w:t>
      </w:r>
    </w:p>
    <w:p w14:paraId="4F57EE30" w14:textId="77777777" w:rsidR="00600D5F" w:rsidRDefault="00600D5F" w:rsidP="00986AD3">
      <w:pPr>
        <w:ind w:left="720" w:hanging="720"/>
        <w:contextualSpacing/>
        <w:rPr>
          <w:rFonts w:asciiTheme="majorHAnsi" w:eastAsia="Times New Roman" w:hAnsiTheme="majorHAnsi" w:cstheme="majorHAnsi"/>
          <w:color w:val="000000"/>
        </w:rPr>
      </w:pPr>
    </w:p>
    <w:p w14:paraId="69E256CC" w14:textId="4AA24C5A" w:rsidR="0065591F" w:rsidRPr="005668D4" w:rsidRDefault="0065591F" w:rsidP="00986AD3">
      <w:pPr>
        <w:ind w:left="720" w:hanging="720"/>
        <w:contextualSpacing/>
        <w:rPr>
          <w:rFonts w:asciiTheme="majorHAnsi" w:eastAsia="Times New Roman" w:hAnsiTheme="majorHAnsi" w:cstheme="majorHAnsi"/>
          <w:color w:val="000000"/>
        </w:rPr>
      </w:pPr>
      <w:r w:rsidRPr="005668D4">
        <w:rPr>
          <w:rFonts w:asciiTheme="majorHAnsi" w:eastAsia="Times New Roman" w:hAnsiTheme="majorHAnsi" w:cstheme="majorHAnsi"/>
          <w:color w:val="000000"/>
        </w:rPr>
        <w:t>Majid, K., &amp; Grier, S. (2010). The Food Mail Program: “When Figs Fly” – Dispatching Access and Affordability to Healthy Food. </w:t>
      </w:r>
      <w:r w:rsidRPr="005668D4">
        <w:rPr>
          <w:rFonts w:asciiTheme="majorHAnsi" w:eastAsia="Times New Roman" w:hAnsiTheme="majorHAnsi" w:cstheme="majorHAnsi"/>
          <w:i/>
          <w:iCs/>
          <w:color w:val="000000"/>
        </w:rPr>
        <w:t>Social Marketing Quarterly</w:t>
      </w:r>
      <w:r w:rsidRPr="005668D4">
        <w:rPr>
          <w:rFonts w:asciiTheme="majorHAnsi" w:eastAsia="Times New Roman" w:hAnsiTheme="majorHAnsi" w:cstheme="majorHAnsi"/>
          <w:color w:val="000000"/>
        </w:rPr>
        <w:t>, </w:t>
      </w:r>
      <w:r w:rsidRPr="005668D4">
        <w:rPr>
          <w:rFonts w:asciiTheme="majorHAnsi" w:eastAsia="Times New Roman" w:hAnsiTheme="majorHAnsi" w:cstheme="majorHAnsi"/>
          <w:i/>
          <w:iCs/>
          <w:color w:val="000000"/>
        </w:rPr>
        <w:t>16</w:t>
      </w:r>
      <w:r w:rsidRPr="005668D4">
        <w:rPr>
          <w:rFonts w:asciiTheme="majorHAnsi" w:eastAsia="Times New Roman" w:hAnsiTheme="majorHAnsi" w:cstheme="majorHAnsi"/>
          <w:color w:val="000000"/>
        </w:rPr>
        <w:t xml:space="preserve">(3), 78-95. </w:t>
      </w:r>
      <w:hyperlink r:id="rId24" w:history="1">
        <w:r w:rsidR="005668D4" w:rsidRPr="00255120">
          <w:rPr>
            <w:rStyle w:val="Hyperlink"/>
            <w:rFonts w:asciiTheme="majorHAnsi" w:eastAsia="Times New Roman" w:hAnsiTheme="majorHAnsi" w:cstheme="majorHAnsi"/>
          </w:rPr>
          <w:t>https://doi.org/10.1080/15245004.2010.503009</w:t>
        </w:r>
      </w:hyperlink>
      <w:r w:rsidR="005668D4">
        <w:rPr>
          <w:rFonts w:asciiTheme="majorHAnsi" w:eastAsia="Times New Roman" w:hAnsiTheme="majorHAnsi" w:cstheme="majorHAnsi"/>
          <w:color w:val="000000"/>
        </w:rPr>
        <w:t xml:space="preserve"> </w:t>
      </w:r>
    </w:p>
    <w:p w14:paraId="529E6E39" w14:textId="77777777" w:rsidR="00A73DB8" w:rsidRDefault="00A73DB8" w:rsidP="00A73DB8">
      <w:pPr>
        <w:autoSpaceDE w:val="0"/>
        <w:autoSpaceDN w:val="0"/>
        <w:adjustRightInd w:val="0"/>
        <w:ind w:left="720" w:hanging="720"/>
        <w:contextualSpacing/>
        <w:rPr>
          <w:rFonts w:asciiTheme="majorHAnsi" w:hAnsiTheme="majorHAnsi" w:cstheme="majorHAnsi"/>
        </w:rPr>
      </w:pPr>
    </w:p>
    <w:p w14:paraId="59420375" w14:textId="68B03C47" w:rsidR="006A2BE5" w:rsidRPr="00A73DB8" w:rsidRDefault="00A73DB8" w:rsidP="00A73DB8">
      <w:pPr>
        <w:autoSpaceDE w:val="0"/>
        <w:autoSpaceDN w:val="0"/>
        <w:adjustRightInd w:val="0"/>
        <w:ind w:left="720" w:hanging="720"/>
        <w:contextualSpacing/>
        <w:rPr>
          <w:rFonts w:asciiTheme="majorHAnsi" w:hAnsiTheme="majorHAnsi" w:cstheme="majorHAnsi"/>
        </w:rPr>
      </w:pPr>
      <w:r w:rsidRPr="00A73DB8">
        <w:rPr>
          <w:rFonts w:asciiTheme="majorHAnsi" w:hAnsiTheme="majorHAnsi" w:cstheme="majorHAnsi"/>
        </w:rPr>
        <w:t>Manson</w:t>
      </w:r>
      <w:r>
        <w:rPr>
          <w:rFonts w:asciiTheme="majorHAnsi" w:hAnsiTheme="majorHAnsi" w:cstheme="majorHAnsi"/>
        </w:rPr>
        <w:t>, G.</w:t>
      </w:r>
      <w:r w:rsidRPr="00A73DB8">
        <w:rPr>
          <w:rFonts w:asciiTheme="majorHAnsi" w:hAnsiTheme="majorHAnsi" w:cstheme="majorHAnsi"/>
        </w:rPr>
        <w:t xml:space="preserve">, </w:t>
      </w:r>
      <w:r>
        <w:rPr>
          <w:rFonts w:asciiTheme="majorHAnsi" w:hAnsiTheme="majorHAnsi" w:cstheme="majorHAnsi"/>
        </w:rPr>
        <w:t xml:space="preserve">&amp; </w:t>
      </w:r>
      <w:r w:rsidRPr="00A73DB8">
        <w:rPr>
          <w:rFonts w:asciiTheme="majorHAnsi" w:hAnsiTheme="majorHAnsi" w:cstheme="majorHAnsi"/>
        </w:rPr>
        <w:t>Solomon</w:t>
      </w:r>
      <w:r>
        <w:rPr>
          <w:rFonts w:asciiTheme="majorHAnsi" w:hAnsiTheme="majorHAnsi" w:cstheme="majorHAnsi"/>
        </w:rPr>
        <w:t>,</w:t>
      </w:r>
      <w:r w:rsidRPr="00A73DB8">
        <w:rPr>
          <w:rFonts w:asciiTheme="majorHAnsi" w:hAnsiTheme="majorHAnsi" w:cstheme="majorHAnsi"/>
        </w:rPr>
        <w:t xml:space="preserve"> S</w:t>
      </w:r>
      <w:r>
        <w:rPr>
          <w:rFonts w:asciiTheme="majorHAnsi" w:hAnsiTheme="majorHAnsi" w:cstheme="majorHAnsi"/>
        </w:rPr>
        <w:t xml:space="preserve">. </w:t>
      </w:r>
      <w:r w:rsidRPr="00A73DB8">
        <w:rPr>
          <w:rFonts w:asciiTheme="majorHAnsi" w:hAnsiTheme="majorHAnsi" w:cstheme="majorHAnsi"/>
        </w:rPr>
        <w:t>(2007)</w:t>
      </w:r>
      <w:r>
        <w:rPr>
          <w:rFonts w:asciiTheme="majorHAnsi" w:hAnsiTheme="majorHAnsi" w:cstheme="majorHAnsi"/>
        </w:rPr>
        <w:t>.</w:t>
      </w:r>
      <w:r w:rsidRPr="00A73DB8">
        <w:rPr>
          <w:rFonts w:asciiTheme="majorHAnsi" w:hAnsiTheme="majorHAnsi" w:cstheme="majorHAnsi"/>
        </w:rPr>
        <w:t xml:space="preserve"> Past and future forcing of Beaufort Sea coastal change. </w:t>
      </w:r>
      <w:proofErr w:type="spellStart"/>
      <w:r w:rsidRPr="00A73DB8">
        <w:rPr>
          <w:rFonts w:asciiTheme="majorHAnsi" w:hAnsiTheme="majorHAnsi" w:cstheme="majorHAnsi"/>
          <w:i/>
        </w:rPr>
        <w:t>Atmos</w:t>
      </w:r>
      <w:proofErr w:type="spellEnd"/>
      <w:r w:rsidRPr="00A73DB8">
        <w:rPr>
          <w:rFonts w:asciiTheme="majorHAnsi" w:hAnsiTheme="majorHAnsi" w:cstheme="majorHAnsi"/>
          <w:i/>
        </w:rPr>
        <w:t xml:space="preserve"> Ocean</w:t>
      </w:r>
      <w:r>
        <w:rPr>
          <w:rFonts w:asciiTheme="majorHAnsi" w:hAnsiTheme="majorHAnsi" w:cstheme="majorHAnsi"/>
          <w:i/>
        </w:rPr>
        <w:t xml:space="preserve">, </w:t>
      </w:r>
      <w:r w:rsidRPr="00A73DB8">
        <w:rPr>
          <w:rFonts w:asciiTheme="majorHAnsi" w:hAnsiTheme="majorHAnsi" w:cstheme="majorHAnsi"/>
          <w:i/>
        </w:rPr>
        <w:t>45</w:t>
      </w:r>
      <w:r>
        <w:rPr>
          <w:rFonts w:asciiTheme="majorHAnsi" w:hAnsiTheme="majorHAnsi" w:cstheme="majorHAnsi"/>
        </w:rPr>
        <w:t xml:space="preserve">, </w:t>
      </w:r>
      <w:r w:rsidRPr="00A73DB8">
        <w:rPr>
          <w:rFonts w:asciiTheme="majorHAnsi" w:hAnsiTheme="majorHAnsi" w:cstheme="majorHAnsi"/>
        </w:rPr>
        <w:t>107–12</w:t>
      </w:r>
      <w:r>
        <w:rPr>
          <w:rFonts w:asciiTheme="majorHAnsi" w:hAnsiTheme="majorHAnsi" w:cstheme="majorHAnsi"/>
        </w:rPr>
        <w:t xml:space="preserve">2. </w:t>
      </w:r>
    </w:p>
    <w:p w14:paraId="48D76232" w14:textId="77777777" w:rsidR="006A2BE5" w:rsidRPr="005668D4" w:rsidRDefault="006A2BE5" w:rsidP="00986AD3">
      <w:pPr>
        <w:contextualSpacing/>
        <w:rPr>
          <w:rFonts w:asciiTheme="majorHAnsi" w:eastAsia="Times New Roman" w:hAnsiTheme="majorHAnsi" w:cstheme="majorHAnsi"/>
          <w:color w:val="000000"/>
        </w:rPr>
      </w:pPr>
    </w:p>
    <w:p w14:paraId="548B8794" w14:textId="69F18E1D" w:rsidR="006A2BE5" w:rsidRPr="005668D4" w:rsidRDefault="006A2BE5" w:rsidP="00986AD3">
      <w:pPr>
        <w:ind w:left="720" w:hanging="720"/>
        <w:contextualSpacing/>
        <w:rPr>
          <w:rFonts w:asciiTheme="majorHAnsi" w:eastAsia="Times New Roman" w:hAnsiTheme="majorHAnsi" w:cstheme="majorHAnsi"/>
          <w:color w:val="000000"/>
        </w:rPr>
      </w:pPr>
      <w:proofErr w:type="spellStart"/>
      <w:r w:rsidRPr="005668D4">
        <w:rPr>
          <w:rFonts w:asciiTheme="majorHAnsi" w:eastAsia="Times New Roman" w:hAnsiTheme="majorHAnsi" w:cstheme="majorHAnsi"/>
          <w:color w:val="000000"/>
        </w:rPr>
        <w:t>Markkula</w:t>
      </w:r>
      <w:proofErr w:type="spellEnd"/>
      <w:r w:rsidRPr="005668D4">
        <w:rPr>
          <w:rFonts w:asciiTheme="majorHAnsi" w:eastAsia="Times New Roman" w:hAnsiTheme="majorHAnsi" w:cstheme="majorHAnsi"/>
          <w:color w:val="000000"/>
        </w:rPr>
        <w:t>, I., Turunen, M</w:t>
      </w:r>
      <w:r w:rsidRPr="005668D4">
        <w:rPr>
          <w:rFonts w:asciiTheme="majorHAnsi" w:eastAsia="Times New Roman" w:hAnsiTheme="majorHAnsi" w:cstheme="majorHAnsi"/>
          <w:color w:val="000000"/>
        </w:rPr>
        <w:t>.</w:t>
      </w:r>
      <w:r w:rsidRPr="005668D4">
        <w:rPr>
          <w:rFonts w:asciiTheme="majorHAnsi" w:eastAsia="Times New Roman" w:hAnsiTheme="majorHAnsi" w:cstheme="majorHAnsi"/>
          <w:color w:val="000000"/>
        </w:rPr>
        <w:t xml:space="preserve">, &amp; Rasmus, S. (2019). A review of climate change impacts on the ecosystem services in the Saami Homeland in Finland. </w:t>
      </w:r>
      <w:r w:rsidRPr="00EC2164">
        <w:rPr>
          <w:rFonts w:asciiTheme="majorHAnsi" w:eastAsia="Times New Roman" w:hAnsiTheme="majorHAnsi" w:cstheme="majorHAnsi"/>
          <w:i/>
          <w:color w:val="000000"/>
        </w:rPr>
        <w:t>Science of the Total Environment, 692</w:t>
      </w:r>
      <w:r w:rsidRPr="005668D4">
        <w:rPr>
          <w:rFonts w:asciiTheme="majorHAnsi" w:eastAsia="Times New Roman" w:hAnsiTheme="majorHAnsi" w:cstheme="majorHAnsi"/>
          <w:color w:val="000000"/>
        </w:rPr>
        <w:t xml:space="preserve">, 1070–1085. </w:t>
      </w:r>
      <w:hyperlink r:id="rId25" w:history="1">
        <w:r w:rsidR="00664E6C" w:rsidRPr="00255120">
          <w:rPr>
            <w:rStyle w:val="Hyperlink"/>
            <w:rFonts w:asciiTheme="majorHAnsi" w:eastAsia="Times New Roman" w:hAnsiTheme="majorHAnsi" w:cstheme="majorHAnsi"/>
          </w:rPr>
          <w:t>https://doi.org/10.1016/</w:t>
        </w:r>
        <w:r w:rsidR="00664E6C" w:rsidRPr="00255120">
          <w:rPr>
            <w:rStyle w:val="Hyperlink"/>
            <w:rFonts w:asciiTheme="majorHAnsi" w:eastAsia="Times New Roman" w:hAnsiTheme="majorHAnsi" w:cstheme="majorHAnsi"/>
          </w:rPr>
          <w:t>j</w:t>
        </w:r>
        <w:r w:rsidR="00664E6C" w:rsidRPr="00255120">
          <w:rPr>
            <w:rStyle w:val="Hyperlink"/>
            <w:rFonts w:asciiTheme="majorHAnsi" w:eastAsia="Times New Roman" w:hAnsiTheme="majorHAnsi" w:cstheme="majorHAnsi"/>
          </w:rPr>
          <w:t>.scitotenv.2019.07.272</w:t>
        </w:r>
      </w:hyperlink>
      <w:r w:rsidR="00664E6C">
        <w:rPr>
          <w:rFonts w:asciiTheme="majorHAnsi" w:eastAsia="Times New Roman" w:hAnsiTheme="majorHAnsi" w:cstheme="majorHAnsi"/>
          <w:color w:val="000000"/>
        </w:rPr>
        <w:t xml:space="preserve"> </w:t>
      </w:r>
    </w:p>
    <w:p w14:paraId="0CA52A63" w14:textId="4C056CD9" w:rsidR="000E1DFC" w:rsidRDefault="000E1DFC" w:rsidP="00986AD3">
      <w:pPr>
        <w:autoSpaceDE w:val="0"/>
        <w:autoSpaceDN w:val="0"/>
        <w:adjustRightInd w:val="0"/>
        <w:contextualSpacing/>
        <w:rPr>
          <w:rFonts w:asciiTheme="majorHAnsi" w:hAnsiTheme="majorHAnsi" w:cstheme="majorHAnsi"/>
          <w:lang w:val="en-US"/>
        </w:rPr>
      </w:pPr>
    </w:p>
    <w:p w14:paraId="072DA0BE" w14:textId="541BA391" w:rsidR="00A73DB8" w:rsidRDefault="00A73DB8" w:rsidP="00A73DB8">
      <w:pPr>
        <w:autoSpaceDE w:val="0"/>
        <w:autoSpaceDN w:val="0"/>
        <w:adjustRightInd w:val="0"/>
        <w:ind w:left="720" w:hanging="720"/>
        <w:contextualSpacing/>
        <w:rPr>
          <w:rFonts w:asciiTheme="majorHAnsi" w:hAnsiTheme="majorHAnsi" w:cstheme="majorHAnsi"/>
          <w:lang w:val="en-US"/>
        </w:rPr>
      </w:pPr>
      <w:r w:rsidRPr="005668D4">
        <w:rPr>
          <w:rFonts w:asciiTheme="majorHAnsi" w:hAnsiTheme="majorHAnsi" w:cstheme="majorHAnsi"/>
          <w:lang w:val="en-US"/>
        </w:rPr>
        <w:t xml:space="preserve">Mathias, J., </w:t>
      </w:r>
      <w:proofErr w:type="spellStart"/>
      <w:r w:rsidRPr="005668D4">
        <w:rPr>
          <w:rFonts w:asciiTheme="majorHAnsi" w:hAnsiTheme="majorHAnsi" w:cstheme="majorHAnsi"/>
          <w:lang w:val="en-US"/>
        </w:rPr>
        <w:t>Ayles</w:t>
      </w:r>
      <w:proofErr w:type="spellEnd"/>
      <w:r w:rsidRPr="005668D4">
        <w:rPr>
          <w:rFonts w:asciiTheme="majorHAnsi" w:hAnsiTheme="majorHAnsi" w:cstheme="majorHAnsi"/>
          <w:lang w:val="en-US"/>
        </w:rPr>
        <w:t xml:space="preserve">, B., </w:t>
      </w:r>
      <w:proofErr w:type="spellStart"/>
      <w:r w:rsidRPr="005668D4">
        <w:rPr>
          <w:rFonts w:asciiTheme="majorHAnsi" w:hAnsiTheme="majorHAnsi" w:cstheme="majorHAnsi"/>
          <w:lang w:val="en-US"/>
        </w:rPr>
        <w:t>Blakney</w:t>
      </w:r>
      <w:proofErr w:type="spellEnd"/>
      <w:r w:rsidRPr="005668D4">
        <w:rPr>
          <w:rFonts w:asciiTheme="majorHAnsi" w:hAnsiTheme="majorHAnsi" w:cstheme="majorHAnsi"/>
          <w:lang w:val="en-US"/>
        </w:rPr>
        <w:t xml:space="preserve">, S., Charles, T., Fast, H., &amp; </w:t>
      </w:r>
      <w:proofErr w:type="spellStart"/>
      <w:r w:rsidRPr="005668D4">
        <w:rPr>
          <w:rFonts w:asciiTheme="majorHAnsi" w:hAnsiTheme="majorHAnsi" w:cstheme="majorHAnsi"/>
          <w:lang w:val="en-US"/>
        </w:rPr>
        <w:t>Irniq</w:t>
      </w:r>
      <w:proofErr w:type="spellEnd"/>
      <w:r w:rsidRPr="005668D4">
        <w:rPr>
          <w:rFonts w:asciiTheme="majorHAnsi" w:hAnsiTheme="majorHAnsi" w:cstheme="majorHAnsi"/>
          <w:lang w:val="en-US"/>
        </w:rPr>
        <w:t xml:space="preserve">, P. (2008). Arctic Change and Coastal Communities: overview of the Coastal Zone Canada Conference, Tuktoyaktuk, August 2006. </w:t>
      </w:r>
      <w:r w:rsidRPr="005668D4">
        <w:rPr>
          <w:rFonts w:asciiTheme="majorHAnsi" w:hAnsiTheme="majorHAnsi" w:cstheme="majorHAnsi"/>
          <w:i/>
          <w:iCs/>
          <w:lang w:val="en-US"/>
        </w:rPr>
        <w:t>Arctic</w:t>
      </w:r>
      <w:r w:rsidRPr="005668D4">
        <w:rPr>
          <w:rFonts w:asciiTheme="majorHAnsi" w:hAnsiTheme="majorHAnsi" w:cstheme="majorHAnsi"/>
          <w:lang w:val="en-US"/>
        </w:rPr>
        <w:t xml:space="preserve">, </w:t>
      </w:r>
      <w:r w:rsidRPr="005668D4">
        <w:rPr>
          <w:rFonts w:asciiTheme="majorHAnsi" w:hAnsiTheme="majorHAnsi" w:cstheme="majorHAnsi"/>
          <w:i/>
          <w:iCs/>
          <w:lang w:val="en-US"/>
        </w:rPr>
        <w:t>61</w:t>
      </w:r>
      <w:r w:rsidRPr="005668D4">
        <w:rPr>
          <w:rFonts w:asciiTheme="majorHAnsi" w:hAnsiTheme="majorHAnsi" w:cstheme="majorHAnsi"/>
          <w:lang w:val="en-US"/>
        </w:rPr>
        <w:t xml:space="preserve">(4). Retrieved from </w:t>
      </w:r>
      <w:hyperlink r:id="rId26" w:history="1">
        <w:r w:rsidRPr="00255120">
          <w:rPr>
            <w:rStyle w:val="Hyperlink"/>
            <w:rFonts w:asciiTheme="majorHAnsi" w:hAnsiTheme="majorHAnsi" w:cstheme="majorHAnsi"/>
            <w:lang w:val="en-US"/>
          </w:rPr>
          <w:t>https://link-gale-com.subzero.lib.uoguelp</w:t>
        </w:r>
        <w:r w:rsidRPr="00255120">
          <w:rPr>
            <w:rStyle w:val="Hyperlink"/>
            <w:rFonts w:asciiTheme="majorHAnsi" w:hAnsiTheme="majorHAnsi" w:cstheme="majorHAnsi"/>
            <w:lang w:val="en-US"/>
          </w:rPr>
          <w:t>h</w:t>
        </w:r>
        <w:r w:rsidRPr="00255120">
          <w:rPr>
            <w:rStyle w:val="Hyperlink"/>
            <w:rFonts w:asciiTheme="majorHAnsi" w:hAnsiTheme="majorHAnsi" w:cstheme="majorHAnsi"/>
            <w:lang w:val="en-US"/>
          </w:rPr>
          <w:t>.ca/apps/doc/A193313346/AONE?u=guel77241&amp;sid=AONE&amp;xid</w:t>
        </w:r>
        <w:r w:rsidRPr="00255120">
          <w:rPr>
            <w:rStyle w:val="Hyperlink"/>
            <w:rFonts w:asciiTheme="majorHAnsi" w:hAnsiTheme="majorHAnsi" w:cstheme="majorHAnsi"/>
            <w:lang w:val="en-US"/>
          </w:rPr>
          <w:t>=</w:t>
        </w:r>
        <w:r w:rsidRPr="00255120">
          <w:rPr>
            <w:rStyle w:val="Hyperlink"/>
            <w:rFonts w:asciiTheme="majorHAnsi" w:hAnsiTheme="majorHAnsi" w:cstheme="majorHAnsi"/>
            <w:lang w:val="en-US"/>
          </w:rPr>
          <w:t>9813f2ed</w:t>
        </w:r>
      </w:hyperlink>
      <w:r>
        <w:rPr>
          <w:rFonts w:asciiTheme="majorHAnsi" w:hAnsiTheme="majorHAnsi" w:cstheme="majorHAnsi"/>
          <w:color w:val="000000" w:themeColor="text1"/>
          <w:lang w:val="en-US"/>
        </w:rPr>
        <w:t xml:space="preserve"> </w:t>
      </w:r>
    </w:p>
    <w:p w14:paraId="3A34ADC0" w14:textId="77777777" w:rsidR="00A73DB8" w:rsidRPr="005668D4" w:rsidRDefault="00A73DB8" w:rsidP="00986AD3">
      <w:pPr>
        <w:autoSpaceDE w:val="0"/>
        <w:autoSpaceDN w:val="0"/>
        <w:adjustRightInd w:val="0"/>
        <w:contextualSpacing/>
        <w:rPr>
          <w:rFonts w:asciiTheme="majorHAnsi" w:hAnsiTheme="majorHAnsi" w:cstheme="majorHAnsi"/>
          <w:lang w:val="en-US"/>
        </w:rPr>
      </w:pPr>
    </w:p>
    <w:p w14:paraId="0766C188" w14:textId="778D8A80" w:rsidR="00BA3467" w:rsidRPr="005668D4" w:rsidRDefault="0065591F" w:rsidP="00986AD3">
      <w:pPr>
        <w:ind w:left="720" w:hanging="720"/>
        <w:contextualSpacing/>
        <w:rPr>
          <w:rFonts w:asciiTheme="majorHAnsi" w:eastAsia="Times New Roman" w:hAnsiTheme="majorHAnsi" w:cstheme="majorHAnsi"/>
          <w:color w:val="000000"/>
        </w:rPr>
      </w:pPr>
      <w:r w:rsidRPr="005668D4">
        <w:rPr>
          <w:rFonts w:asciiTheme="majorHAnsi" w:eastAsia="Times New Roman" w:hAnsiTheme="majorHAnsi" w:cstheme="majorHAnsi"/>
          <w:color w:val="000000"/>
        </w:rPr>
        <w:t xml:space="preserve">Pearce, T., Ford, J., Caron, A., &amp; </w:t>
      </w:r>
      <w:proofErr w:type="spellStart"/>
      <w:r w:rsidRPr="005668D4">
        <w:rPr>
          <w:rFonts w:asciiTheme="majorHAnsi" w:eastAsia="Times New Roman" w:hAnsiTheme="majorHAnsi" w:cstheme="majorHAnsi"/>
          <w:color w:val="000000"/>
        </w:rPr>
        <w:t>Kudlak</w:t>
      </w:r>
      <w:proofErr w:type="spellEnd"/>
      <w:r w:rsidRPr="005668D4">
        <w:rPr>
          <w:rFonts w:asciiTheme="majorHAnsi" w:eastAsia="Times New Roman" w:hAnsiTheme="majorHAnsi" w:cstheme="majorHAnsi"/>
          <w:color w:val="000000"/>
        </w:rPr>
        <w:t xml:space="preserve">, B. (2012). Climate change adaptation planning in remote, resource-dependent communities: </w:t>
      </w:r>
      <w:proofErr w:type="gramStart"/>
      <w:r w:rsidRPr="005668D4">
        <w:rPr>
          <w:rFonts w:asciiTheme="majorHAnsi" w:eastAsia="Times New Roman" w:hAnsiTheme="majorHAnsi" w:cstheme="majorHAnsi"/>
          <w:color w:val="000000"/>
        </w:rPr>
        <w:t>an</w:t>
      </w:r>
      <w:proofErr w:type="gramEnd"/>
      <w:r w:rsidRPr="005668D4">
        <w:rPr>
          <w:rFonts w:asciiTheme="majorHAnsi" w:eastAsia="Times New Roman" w:hAnsiTheme="majorHAnsi" w:cstheme="majorHAnsi"/>
          <w:color w:val="000000"/>
        </w:rPr>
        <w:t xml:space="preserve"> Arctic example. </w:t>
      </w:r>
      <w:r w:rsidRPr="005668D4">
        <w:rPr>
          <w:rFonts w:asciiTheme="majorHAnsi" w:eastAsia="Times New Roman" w:hAnsiTheme="majorHAnsi" w:cstheme="majorHAnsi"/>
          <w:i/>
          <w:iCs/>
          <w:color w:val="000000"/>
        </w:rPr>
        <w:t>Regional Environmental Change</w:t>
      </w:r>
      <w:r w:rsidRPr="005668D4">
        <w:rPr>
          <w:rFonts w:asciiTheme="majorHAnsi" w:eastAsia="Times New Roman" w:hAnsiTheme="majorHAnsi" w:cstheme="majorHAnsi"/>
          <w:color w:val="000000"/>
        </w:rPr>
        <w:t>, </w:t>
      </w:r>
      <w:r w:rsidRPr="005668D4">
        <w:rPr>
          <w:rFonts w:asciiTheme="majorHAnsi" w:eastAsia="Times New Roman" w:hAnsiTheme="majorHAnsi" w:cstheme="majorHAnsi"/>
          <w:i/>
          <w:iCs/>
          <w:color w:val="000000"/>
        </w:rPr>
        <w:t>12</w:t>
      </w:r>
      <w:r w:rsidRPr="005668D4">
        <w:rPr>
          <w:rFonts w:asciiTheme="majorHAnsi" w:eastAsia="Times New Roman" w:hAnsiTheme="majorHAnsi" w:cstheme="majorHAnsi"/>
          <w:color w:val="000000"/>
        </w:rPr>
        <w:t xml:space="preserve">(4), 825–837. </w:t>
      </w:r>
      <w:hyperlink r:id="rId27" w:history="1">
        <w:r w:rsidR="005668D4" w:rsidRPr="00255120">
          <w:rPr>
            <w:rStyle w:val="Hyperlink"/>
            <w:rFonts w:asciiTheme="majorHAnsi" w:eastAsia="Times New Roman" w:hAnsiTheme="majorHAnsi" w:cstheme="majorHAnsi"/>
          </w:rPr>
          <w:t>https://doi.org/10.1007/s10113-012-0297-2</w:t>
        </w:r>
      </w:hyperlink>
      <w:r w:rsidR="005668D4">
        <w:rPr>
          <w:rFonts w:asciiTheme="majorHAnsi" w:eastAsia="Times New Roman" w:hAnsiTheme="majorHAnsi" w:cstheme="majorHAnsi"/>
          <w:color w:val="000000"/>
        </w:rPr>
        <w:t xml:space="preserve"> </w:t>
      </w:r>
    </w:p>
    <w:p w14:paraId="68CCAB62" w14:textId="1494A80F" w:rsidR="0065591F" w:rsidRDefault="0065591F" w:rsidP="00986AD3">
      <w:pPr>
        <w:adjustRightInd w:val="0"/>
        <w:spacing w:before="120" w:after="120"/>
        <w:ind w:left="720" w:hanging="720"/>
        <w:contextualSpacing/>
        <w:rPr>
          <w:rFonts w:asciiTheme="majorHAnsi" w:eastAsia="Calibri" w:hAnsiTheme="majorHAnsi" w:cstheme="majorHAnsi"/>
          <w:b/>
          <w:bCs/>
        </w:rPr>
      </w:pPr>
    </w:p>
    <w:p w14:paraId="2F35E2F4" w14:textId="0865740E" w:rsidR="00EC2164" w:rsidRPr="00EC2164" w:rsidRDefault="00EC2164" w:rsidP="00EC2164">
      <w:pPr>
        <w:adjustRightInd w:val="0"/>
        <w:spacing w:before="120" w:after="120"/>
        <w:ind w:left="720" w:hanging="720"/>
        <w:contextualSpacing/>
        <w:rPr>
          <w:rFonts w:asciiTheme="majorHAnsi" w:eastAsia="Calibri" w:hAnsiTheme="majorHAnsi" w:cstheme="majorHAnsi"/>
          <w:bCs/>
        </w:rPr>
      </w:pPr>
      <w:r>
        <w:rPr>
          <w:rFonts w:asciiTheme="majorHAnsi" w:eastAsia="Calibri" w:hAnsiTheme="majorHAnsi" w:cstheme="majorHAnsi"/>
          <w:bCs/>
        </w:rPr>
        <w:t xml:space="preserve">Post, E., &amp; </w:t>
      </w:r>
      <w:proofErr w:type="spellStart"/>
      <w:r>
        <w:rPr>
          <w:rFonts w:asciiTheme="majorHAnsi" w:eastAsia="Calibri" w:hAnsiTheme="majorHAnsi" w:cstheme="majorHAnsi"/>
          <w:bCs/>
        </w:rPr>
        <w:t>Forschhammer</w:t>
      </w:r>
      <w:proofErr w:type="spellEnd"/>
      <w:r>
        <w:rPr>
          <w:rFonts w:asciiTheme="majorHAnsi" w:eastAsia="Calibri" w:hAnsiTheme="majorHAnsi" w:cstheme="majorHAnsi"/>
          <w:bCs/>
        </w:rPr>
        <w:t xml:space="preserve">, M. (2008). Climate change reduces reproductive success of an Arctic herbivore through trophic mismatch. </w:t>
      </w:r>
      <w:r w:rsidRPr="00EC2164">
        <w:rPr>
          <w:rFonts w:asciiTheme="majorHAnsi" w:eastAsia="Calibri" w:hAnsiTheme="majorHAnsi" w:cstheme="majorHAnsi"/>
          <w:bCs/>
          <w:i/>
        </w:rPr>
        <w:t>Philosophical Transactions of the Royal Society B, 363</w:t>
      </w:r>
      <w:r>
        <w:rPr>
          <w:rFonts w:asciiTheme="majorHAnsi" w:eastAsia="Calibri" w:hAnsiTheme="majorHAnsi" w:cstheme="majorHAnsi"/>
          <w:bCs/>
        </w:rPr>
        <w:t xml:space="preserve">, 2369-2375. </w:t>
      </w:r>
    </w:p>
    <w:p w14:paraId="22789897" w14:textId="5D44A66F" w:rsidR="00EC2164" w:rsidRDefault="00EC2164" w:rsidP="00EC2164">
      <w:pPr>
        <w:adjustRightInd w:val="0"/>
        <w:spacing w:before="120" w:after="120"/>
        <w:contextualSpacing/>
        <w:rPr>
          <w:rFonts w:asciiTheme="majorHAnsi" w:eastAsia="Calibri" w:hAnsiTheme="majorHAnsi" w:cstheme="majorHAnsi"/>
          <w:b/>
          <w:bCs/>
        </w:rPr>
      </w:pPr>
    </w:p>
    <w:p w14:paraId="2DB1D93A" w14:textId="26DD8DB1" w:rsidR="00EC2164" w:rsidRPr="00EC2164" w:rsidRDefault="00EC2164" w:rsidP="007833E8">
      <w:pPr>
        <w:adjustRightInd w:val="0"/>
        <w:spacing w:before="120" w:after="120"/>
        <w:ind w:left="720" w:hanging="720"/>
        <w:contextualSpacing/>
        <w:rPr>
          <w:rFonts w:asciiTheme="majorHAnsi" w:eastAsia="Calibri" w:hAnsiTheme="majorHAnsi" w:cstheme="majorHAnsi"/>
          <w:bCs/>
        </w:rPr>
      </w:pPr>
      <w:r>
        <w:rPr>
          <w:rFonts w:asciiTheme="majorHAnsi" w:eastAsia="Calibri" w:hAnsiTheme="majorHAnsi" w:cstheme="majorHAnsi"/>
          <w:bCs/>
        </w:rPr>
        <w:t xml:space="preserve">Post, E., Pedersen, C., </w:t>
      </w:r>
      <w:proofErr w:type="spellStart"/>
      <w:r>
        <w:rPr>
          <w:rFonts w:asciiTheme="majorHAnsi" w:eastAsia="Calibri" w:hAnsiTheme="majorHAnsi" w:cstheme="majorHAnsi"/>
          <w:bCs/>
        </w:rPr>
        <w:t>Wilmers</w:t>
      </w:r>
      <w:proofErr w:type="spellEnd"/>
      <w:r>
        <w:rPr>
          <w:rFonts w:asciiTheme="majorHAnsi" w:eastAsia="Calibri" w:hAnsiTheme="majorHAnsi" w:cstheme="majorHAnsi"/>
          <w:bCs/>
        </w:rPr>
        <w:t xml:space="preserve">, C., </w:t>
      </w:r>
      <w:r w:rsidR="00A73DB8">
        <w:rPr>
          <w:rFonts w:asciiTheme="majorHAnsi" w:eastAsia="Calibri" w:hAnsiTheme="majorHAnsi" w:cstheme="majorHAnsi"/>
          <w:bCs/>
        </w:rPr>
        <w:t xml:space="preserve">&amp; </w:t>
      </w:r>
      <w:proofErr w:type="spellStart"/>
      <w:r>
        <w:rPr>
          <w:rFonts w:asciiTheme="majorHAnsi" w:eastAsia="Calibri" w:hAnsiTheme="majorHAnsi" w:cstheme="majorHAnsi"/>
          <w:bCs/>
        </w:rPr>
        <w:t>Forschhammer</w:t>
      </w:r>
      <w:proofErr w:type="spellEnd"/>
      <w:r>
        <w:rPr>
          <w:rFonts w:asciiTheme="majorHAnsi" w:eastAsia="Calibri" w:hAnsiTheme="majorHAnsi" w:cstheme="majorHAnsi"/>
          <w:bCs/>
        </w:rPr>
        <w:t xml:space="preserve">, M. (2009). Warming, plant phenology and the spatial dimension of trophic mismatch for large herbivores. </w:t>
      </w:r>
      <w:r w:rsidRPr="00EC2164">
        <w:rPr>
          <w:rFonts w:asciiTheme="majorHAnsi" w:eastAsia="Calibri" w:hAnsiTheme="majorHAnsi" w:cstheme="majorHAnsi"/>
          <w:bCs/>
          <w:i/>
        </w:rPr>
        <w:t>Philosophical Transactions of the Royal Society B, 275</w:t>
      </w:r>
      <w:r>
        <w:rPr>
          <w:rFonts w:asciiTheme="majorHAnsi" w:eastAsia="Calibri" w:hAnsiTheme="majorHAnsi" w:cstheme="majorHAnsi"/>
          <w:bCs/>
        </w:rPr>
        <w:t xml:space="preserve">, 2005-2013. </w:t>
      </w:r>
    </w:p>
    <w:p w14:paraId="2E6C7B16" w14:textId="77777777" w:rsidR="00EC2164" w:rsidRPr="005668D4" w:rsidRDefault="00EC2164" w:rsidP="00EC2164">
      <w:pPr>
        <w:adjustRightInd w:val="0"/>
        <w:spacing w:before="120" w:after="120"/>
        <w:contextualSpacing/>
        <w:rPr>
          <w:rFonts w:asciiTheme="majorHAnsi" w:eastAsia="Calibri" w:hAnsiTheme="majorHAnsi" w:cstheme="majorHAnsi"/>
          <w:b/>
          <w:bCs/>
        </w:rPr>
      </w:pPr>
    </w:p>
    <w:p w14:paraId="3E16DEF6" w14:textId="30356BE5" w:rsidR="005A0CC5" w:rsidRPr="005668D4" w:rsidRDefault="005A0CC5" w:rsidP="00986AD3">
      <w:pPr>
        <w:ind w:left="720" w:hanging="720"/>
        <w:contextualSpacing/>
        <w:rPr>
          <w:rFonts w:asciiTheme="majorHAnsi" w:eastAsia="Times New Roman" w:hAnsiTheme="majorHAnsi" w:cstheme="majorHAnsi"/>
          <w:color w:val="000000"/>
        </w:rPr>
      </w:pPr>
      <w:proofErr w:type="spellStart"/>
      <w:r w:rsidRPr="005668D4">
        <w:rPr>
          <w:rFonts w:asciiTheme="majorHAnsi" w:eastAsia="Times New Roman" w:hAnsiTheme="majorHAnsi" w:cstheme="majorHAnsi"/>
          <w:color w:val="000000"/>
        </w:rPr>
        <w:t>Rosol</w:t>
      </w:r>
      <w:proofErr w:type="spellEnd"/>
      <w:r w:rsidRPr="005668D4">
        <w:rPr>
          <w:rFonts w:asciiTheme="majorHAnsi" w:eastAsia="Times New Roman" w:hAnsiTheme="majorHAnsi" w:cstheme="majorHAnsi"/>
          <w:color w:val="000000"/>
        </w:rPr>
        <w:t xml:space="preserve">, R., Powell-Hellyer, S., &amp; Chan, H. (2016). Impacts of decline harvest of country food on nutrient intake among Inuit in Arctic Canada: impact of climate change and possible </w:t>
      </w:r>
      <w:r w:rsidRPr="005668D4">
        <w:rPr>
          <w:rFonts w:asciiTheme="majorHAnsi" w:eastAsia="Times New Roman" w:hAnsiTheme="majorHAnsi" w:cstheme="majorHAnsi"/>
          <w:color w:val="000000"/>
        </w:rPr>
        <w:lastRenderedPageBreak/>
        <w:t>adaptation plan. </w:t>
      </w:r>
      <w:r w:rsidRPr="005668D4">
        <w:rPr>
          <w:rFonts w:asciiTheme="majorHAnsi" w:eastAsia="Times New Roman" w:hAnsiTheme="majorHAnsi" w:cstheme="majorHAnsi"/>
          <w:i/>
          <w:iCs/>
          <w:color w:val="000000"/>
        </w:rPr>
        <w:t>International Journal of Circumpolar Health</w:t>
      </w:r>
      <w:r w:rsidRPr="005668D4">
        <w:rPr>
          <w:rFonts w:asciiTheme="majorHAnsi" w:eastAsia="Times New Roman" w:hAnsiTheme="majorHAnsi" w:cstheme="majorHAnsi"/>
          <w:color w:val="000000"/>
        </w:rPr>
        <w:t>, </w:t>
      </w:r>
      <w:r w:rsidRPr="005668D4">
        <w:rPr>
          <w:rFonts w:asciiTheme="majorHAnsi" w:eastAsia="Times New Roman" w:hAnsiTheme="majorHAnsi" w:cstheme="majorHAnsi"/>
          <w:i/>
          <w:iCs/>
          <w:color w:val="000000"/>
        </w:rPr>
        <w:t>75</w:t>
      </w:r>
      <w:r w:rsidRPr="005668D4">
        <w:rPr>
          <w:rFonts w:asciiTheme="majorHAnsi" w:eastAsia="Times New Roman" w:hAnsiTheme="majorHAnsi" w:cstheme="majorHAnsi"/>
          <w:color w:val="000000"/>
        </w:rPr>
        <w:t xml:space="preserve">(1), 31127. </w:t>
      </w:r>
      <w:hyperlink r:id="rId28" w:history="1">
        <w:r w:rsidR="005668D4" w:rsidRPr="00255120">
          <w:rPr>
            <w:rStyle w:val="Hyperlink"/>
            <w:rFonts w:asciiTheme="majorHAnsi" w:eastAsia="Times New Roman" w:hAnsiTheme="majorHAnsi" w:cstheme="majorHAnsi"/>
          </w:rPr>
          <w:t>https://doi.org/10.3402/ijch.v75.31127</w:t>
        </w:r>
      </w:hyperlink>
      <w:r w:rsidR="005668D4">
        <w:rPr>
          <w:rFonts w:asciiTheme="majorHAnsi" w:eastAsia="Times New Roman" w:hAnsiTheme="majorHAnsi" w:cstheme="majorHAnsi"/>
          <w:color w:val="000000"/>
        </w:rPr>
        <w:t xml:space="preserve"> </w:t>
      </w:r>
    </w:p>
    <w:p w14:paraId="78866060" w14:textId="77777777" w:rsidR="005A0CC5" w:rsidRPr="005668D4" w:rsidRDefault="005A0CC5" w:rsidP="00986AD3">
      <w:pPr>
        <w:contextualSpacing/>
        <w:rPr>
          <w:rFonts w:asciiTheme="majorHAnsi" w:eastAsia="Times New Roman" w:hAnsiTheme="majorHAnsi" w:cstheme="majorHAnsi"/>
          <w:color w:val="000000"/>
        </w:rPr>
      </w:pPr>
    </w:p>
    <w:p w14:paraId="66896A38" w14:textId="461EE487" w:rsidR="00CF3F22" w:rsidRPr="005668D4" w:rsidRDefault="005A0CC5" w:rsidP="00986AD3">
      <w:pPr>
        <w:ind w:left="720" w:hanging="720"/>
        <w:contextualSpacing/>
        <w:rPr>
          <w:rFonts w:asciiTheme="majorHAnsi" w:eastAsia="Times New Roman" w:hAnsiTheme="majorHAnsi" w:cstheme="majorHAnsi"/>
          <w:color w:val="000000"/>
        </w:rPr>
      </w:pPr>
      <w:r w:rsidRPr="005668D4">
        <w:rPr>
          <w:rFonts w:asciiTheme="majorHAnsi" w:eastAsia="Times New Roman" w:hAnsiTheme="majorHAnsi" w:cstheme="majorHAnsi"/>
          <w:color w:val="000000"/>
        </w:rPr>
        <w:t xml:space="preserve">Sheehy, T., Roache, C., &amp; Sharma, S. (2013). Eating habits of a population undergoing a rapid dietary transition: portion sizes of traditional and non-traditional foods and beverages consumed by Inuit adults in Nunavut, Canada.(Report). </w:t>
      </w:r>
      <w:r w:rsidRPr="00EC2164">
        <w:rPr>
          <w:rFonts w:asciiTheme="majorHAnsi" w:eastAsia="Times New Roman" w:hAnsiTheme="majorHAnsi" w:cstheme="majorHAnsi"/>
          <w:i/>
          <w:color w:val="000000"/>
        </w:rPr>
        <w:t>Nutrition Journal, 12</w:t>
      </w:r>
      <w:r w:rsidRPr="005668D4">
        <w:rPr>
          <w:rFonts w:asciiTheme="majorHAnsi" w:eastAsia="Times New Roman" w:hAnsiTheme="majorHAnsi" w:cstheme="majorHAnsi"/>
          <w:color w:val="000000"/>
        </w:rPr>
        <w:t xml:space="preserve">(1), 70. </w:t>
      </w:r>
      <w:hyperlink r:id="rId29" w:history="1">
        <w:r w:rsidR="005668D4" w:rsidRPr="00255120">
          <w:rPr>
            <w:rStyle w:val="Hyperlink"/>
            <w:rFonts w:asciiTheme="majorHAnsi" w:eastAsia="Times New Roman" w:hAnsiTheme="majorHAnsi" w:cstheme="majorHAnsi"/>
          </w:rPr>
          <w:t>https://doi.org/10.1186/1475-2891-12-70</w:t>
        </w:r>
      </w:hyperlink>
      <w:r w:rsidR="005668D4">
        <w:rPr>
          <w:rFonts w:asciiTheme="majorHAnsi" w:eastAsia="Times New Roman" w:hAnsiTheme="majorHAnsi" w:cstheme="majorHAnsi"/>
          <w:color w:val="000000"/>
        </w:rPr>
        <w:t xml:space="preserve"> </w:t>
      </w:r>
    </w:p>
    <w:p w14:paraId="27CBD2B8" w14:textId="77777777" w:rsidR="00CF3F22" w:rsidRPr="005668D4" w:rsidRDefault="00CF3F22" w:rsidP="00986AD3">
      <w:pPr>
        <w:contextualSpacing/>
        <w:rPr>
          <w:rFonts w:asciiTheme="majorHAnsi" w:eastAsia="Times New Roman" w:hAnsiTheme="majorHAnsi" w:cstheme="majorHAnsi"/>
          <w:color w:val="000000"/>
        </w:rPr>
      </w:pPr>
    </w:p>
    <w:p w14:paraId="6ED4C4A3" w14:textId="0297CCD0" w:rsidR="001974DF" w:rsidRDefault="00F50626" w:rsidP="00986AD3">
      <w:pPr>
        <w:ind w:left="720" w:hanging="720"/>
        <w:contextualSpacing/>
        <w:rPr>
          <w:rFonts w:asciiTheme="majorHAnsi" w:eastAsia="Times New Roman" w:hAnsiTheme="majorHAnsi" w:cstheme="majorHAnsi"/>
          <w:color w:val="000000"/>
        </w:rPr>
      </w:pPr>
      <w:r w:rsidRPr="005668D4">
        <w:rPr>
          <w:rFonts w:asciiTheme="majorHAnsi" w:eastAsia="Times New Roman" w:hAnsiTheme="majorHAnsi" w:cstheme="majorHAnsi"/>
          <w:color w:val="000000"/>
        </w:rPr>
        <w:t xml:space="preserve">Skinner, K., Hanning, R., Desjardins, E., &amp; Tsuji, L. (2013). Giving voice to food insecurity in a remote indigenous community in subarctic Ontario, Canada: traditional ways, ways to cope, ways forward. </w:t>
      </w:r>
      <w:r w:rsidRPr="00EC2164">
        <w:rPr>
          <w:rFonts w:asciiTheme="majorHAnsi" w:eastAsia="Times New Roman" w:hAnsiTheme="majorHAnsi" w:cstheme="majorHAnsi"/>
          <w:i/>
          <w:color w:val="000000"/>
        </w:rPr>
        <w:t>BMC Public Health, 13</w:t>
      </w:r>
      <w:r w:rsidRPr="005668D4">
        <w:rPr>
          <w:rFonts w:asciiTheme="majorHAnsi" w:eastAsia="Times New Roman" w:hAnsiTheme="majorHAnsi" w:cstheme="majorHAnsi"/>
          <w:color w:val="000000"/>
        </w:rPr>
        <w:t xml:space="preserve">(1), 427. </w:t>
      </w:r>
      <w:hyperlink r:id="rId30" w:history="1">
        <w:r w:rsidR="00AB49AE" w:rsidRPr="00255120">
          <w:rPr>
            <w:rStyle w:val="Hyperlink"/>
            <w:rFonts w:asciiTheme="majorHAnsi" w:eastAsia="Times New Roman" w:hAnsiTheme="majorHAnsi" w:cstheme="majorHAnsi"/>
          </w:rPr>
          <w:t>https://doi.org/10.1186/</w:t>
        </w:r>
        <w:r w:rsidR="00AB49AE" w:rsidRPr="00255120">
          <w:rPr>
            <w:rStyle w:val="Hyperlink"/>
            <w:rFonts w:asciiTheme="majorHAnsi" w:eastAsia="Times New Roman" w:hAnsiTheme="majorHAnsi" w:cstheme="majorHAnsi"/>
          </w:rPr>
          <w:t>1</w:t>
        </w:r>
        <w:r w:rsidR="00AB49AE" w:rsidRPr="00255120">
          <w:rPr>
            <w:rStyle w:val="Hyperlink"/>
            <w:rFonts w:asciiTheme="majorHAnsi" w:eastAsia="Times New Roman" w:hAnsiTheme="majorHAnsi" w:cstheme="majorHAnsi"/>
          </w:rPr>
          <w:t>471-2458-13-427</w:t>
        </w:r>
      </w:hyperlink>
      <w:r w:rsidR="00AB49AE">
        <w:rPr>
          <w:rFonts w:asciiTheme="majorHAnsi" w:eastAsia="Times New Roman" w:hAnsiTheme="majorHAnsi" w:cstheme="majorHAnsi"/>
          <w:color w:val="000000"/>
        </w:rPr>
        <w:t xml:space="preserve"> </w:t>
      </w:r>
    </w:p>
    <w:p w14:paraId="1498E636" w14:textId="48C46442" w:rsidR="00E81902" w:rsidRDefault="00E81902" w:rsidP="00986AD3">
      <w:pPr>
        <w:ind w:left="720" w:hanging="720"/>
        <w:contextualSpacing/>
        <w:rPr>
          <w:rFonts w:asciiTheme="majorHAnsi" w:eastAsia="Times New Roman" w:hAnsiTheme="majorHAnsi" w:cstheme="majorHAnsi"/>
          <w:color w:val="000000"/>
        </w:rPr>
      </w:pPr>
    </w:p>
    <w:p w14:paraId="7D829387" w14:textId="3814298C" w:rsidR="00E81902" w:rsidRPr="00E81902" w:rsidRDefault="00E81902" w:rsidP="00E81902">
      <w:pPr>
        <w:ind w:left="720" w:hanging="720"/>
        <w:contextualSpacing/>
        <w:rPr>
          <w:rFonts w:asciiTheme="majorHAnsi" w:eastAsia="Times New Roman" w:hAnsiTheme="majorHAnsi" w:cstheme="majorHAnsi"/>
          <w:color w:val="000000"/>
        </w:rPr>
      </w:pPr>
      <w:r>
        <w:rPr>
          <w:rFonts w:asciiTheme="majorHAnsi" w:eastAsia="Times New Roman" w:hAnsiTheme="majorHAnsi" w:cstheme="majorHAnsi"/>
          <w:color w:val="000000"/>
        </w:rPr>
        <w:t xml:space="preserve">Statistics Canada. (2002). </w:t>
      </w:r>
      <w:r w:rsidRPr="00E81902">
        <w:rPr>
          <w:rFonts w:asciiTheme="majorHAnsi" w:eastAsia="Times New Roman" w:hAnsiTheme="majorHAnsi" w:cstheme="majorHAnsi"/>
          <w:i/>
          <w:color w:val="000000"/>
        </w:rPr>
        <w:t xml:space="preserve">2001 Community Profiles: Tuktoyaktuk, </w:t>
      </w:r>
      <w:r w:rsidR="008718C4">
        <w:rPr>
          <w:rFonts w:asciiTheme="majorHAnsi" w:eastAsia="Times New Roman" w:hAnsiTheme="majorHAnsi" w:cstheme="majorHAnsi"/>
          <w:i/>
          <w:color w:val="000000"/>
        </w:rPr>
        <w:t>North</w:t>
      </w:r>
      <w:r w:rsidRPr="00E81902">
        <w:rPr>
          <w:rFonts w:asciiTheme="majorHAnsi" w:eastAsia="Times New Roman" w:hAnsiTheme="majorHAnsi" w:cstheme="majorHAnsi"/>
          <w:i/>
          <w:color w:val="000000"/>
        </w:rPr>
        <w:t>west Territories</w:t>
      </w:r>
      <w:r w:rsidRPr="00E81902">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r w:rsidRPr="00E81902">
        <w:rPr>
          <w:rFonts w:asciiTheme="majorHAnsi" w:eastAsia="Times New Roman" w:hAnsiTheme="majorHAnsi" w:cstheme="majorHAnsi"/>
          <w:color w:val="000000"/>
        </w:rPr>
        <w:t xml:space="preserve">Retrieved 14 May 2020, from </w:t>
      </w:r>
      <w:hyperlink r:id="rId31" w:history="1">
        <w:r w:rsidRPr="00255120">
          <w:rPr>
            <w:rStyle w:val="Hyperlink"/>
            <w:rFonts w:asciiTheme="majorHAnsi" w:eastAsia="Times New Roman" w:hAnsiTheme="majorHAnsi" w:cstheme="majorHAnsi"/>
          </w:rPr>
          <w:t>https://www12.statcan.gc.ca/english/Profil01/CP01/Details/Page.cfm?Lang=E&amp;Geo1=CSD&amp;Code1=6107036&amp;Geo2=PR&amp;Code2=61&amp;Data=Count&amp;SearchText=Tuk&amp;SearchType=Begins&amp;SearchPR=01&amp;B1=All&amp;Custom</w:t>
        </w:r>
      </w:hyperlink>
    </w:p>
    <w:p w14:paraId="71AF318D" w14:textId="15F3F474" w:rsidR="008A42D3" w:rsidRDefault="008A42D3" w:rsidP="00986AD3">
      <w:pPr>
        <w:contextualSpacing/>
        <w:rPr>
          <w:rFonts w:asciiTheme="majorHAnsi" w:eastAsia="Times New Roman" w:hAnsiTheme="majorHAnsi" w:cstheme="majorHAnsi"/>
          <w:color w:val="000000"/>
        </w:rPr>
      </w:pPr>
    </w:p>
    <w:p w14:paraId="09A7668F" w14:textId="622B8016" w:rsidR="00B272B4" w:rsidRDefault="007833E8" w:rsidP="00A73DB8">
      <w:pPr>
        <w:ind w:left="720" w:hanging="720"/>
        <w:contextualSpacing/>
        <w:rPr>
          <w:rFonts w:asciiTheme="majorHAnsi" w:eastAsia="Times New Roman" w:hAnsiTheme="majorHAnsi" w:cstheme="majorHAnsi"/>
          <w:color w:val="000000"/>
        </w:rPr>
      </w:pPr>
      <w:r w:rsidRPr="007833E8">
        <w:rPr>
          <w:rFonts w:asciiTheme="majorHAnsi" w:eastAsia="Times New Roman" w:hAnsiTheme="majorHAnsi" w:cstheme="majorHAnsi"/>
          <w:color w:val="000000"/>
        </w:rPr>
        <w:t xml:space="preserve">Statistics Canada. </w:t>
      </w:r>
      <w:r>
        <w:rPr>
          <w:rFonts w:asciiTheme="majorHAnsi" w:eastAsia="Times New Roman" w:hAnsiTheme="majorHAnsi" w:cstheme="majorHAnsi"/>
          <w:color w:val="000000"/>
        </w:rPr>
        <w:t>(</w:t>
      </w:r>
      <w:r w:rsidRPr="007833E8">
        <w:rPr>
          <w:rFonts w:asciiTheme="majorHAnsi" w:eastAsia="Times New Roman" w:hAnsiTheme="majorHAnsi" w:cstheme="majorHAnsi"/>
          <w:color w:val="000000"/>
        </w:rPr>
        <w:t>2017</w:t>
      </w:r>
      <w:r>
        <w:rPr>
          <w:rFonts w:asciiTheme="majorHAnsi" w:eastAsia="Times New Roman" w:hAnsiTheme="majorHAnsi" w:cstheme="majorHAnsi"/>
          <w:color w:val="000000"/>
        </w:rPr>
        <w:t>)</w:t>
      </w:r>
      <w:r w:rsidRPr="007833E8">
        <w:rPr>
          <w:rFonts w:asciiTheme="majorHAnsi" w:eastAsia="Times New Roman" w:hAnsiTheme="majorHAnsi" w:cstheme="majorHAnsi"/>
          <w:color w:val="000000"/>
        </w:rPr>
        <w:t>. </w:t>
      </w:r>
      <w:r w:rsidRPr="007833E8">
        <w:rPr>
          <w:rFonts w:asciiTheme="majorHAnsi" w:eastAsia="Times New Roman" w:hAnsiTheme="majorHAnsi" w:cstheme="majorHAnsi"/>
          <w:i/>
          <w:iCs/>
          <w:color w:val="000000"/>
        </w:rPr>
        <w:t>Focus on Geography Series, 2016 Census</w:t>
      </w:r>
      <w:r w:rsidRPr="007833E8">
        <w:rPr>
          <w:rFonts w:asciiTheme="majorHAnsi" w:eastAsia="Times New Roman" w:hAnsiTheme="majorHAnsi" w:cstheme="majorHAnsi"/>
          <w:color w:val="000000"/>
        </w:rPr>
        <w:t>. Statistics Canada Catalogue no. 98-404-X2016001. Ottawa, Ontario. Data products, 2016 Census.</w:t>
      </w:r>
      <w:r>
        <w:rPr>
          <w:rFonts w:asciiTheme="majorHAnsi" w:eastAsia="Times New Roman" w:hAnsiTheme="majorHAnsi" w:cstheme="majorHAnsi"/>
          <w:color w:val="000000"/>
        </w:rPr>
        <w:t xml:space="preserve"> Retrieved 14 May 2020, from </w:t>
      </w:r>
      <w:hyperlink r:id="rId32" w:history="1">
        <w:r w:rsidRPr="00255120">
          <w:rPr>
            <w:rStyle w:val="Hyperlink"/>
            <w:rFonts w:asciiTheme="majorHAnsi" w:eastAsia="Times New Roman" w:hAnsiTheme="majorHAnsi" w:cstheme="majorHAnsi"/>
          </w:rPr>
          <w:t>https://www12.statcan.gc.ca/census-recensement/2016/as-sa/fogs-spg/Facts-csd-eng.cfm?LANG=Eng&amp;GK=CSD&amp;GC=6101036&amp;TOPIC=11</w:t>
        </w:r>
      </w:hyperlink>
      <w:r>
        <w:rPr>
          <w:rFonts w:asciiTheme="majorHAnsi" w:eastAsia="Times New Roman" w:hAnsiTheme="majorHAnsi" w:cstheme="majorHAnsi"/>
          <w:color w:val="000000"/>
        </w:rPr>
        <w:t xml:space="preserve"> </w:t>
      </w:r>
    </w:p>
    <w:p w14:paraId="25994344" w14:textId="77777777" w:rsidR="007833E8" w:rsidRDefault="007833E8" w:rsidP="007833E8">
      <w:pPr>
        <w:rPr>
          <w:rFonts w:ascii="Arial" w:eastAsia="Times New Roman" w:hAnsi="Arial" w:cs="Arial"/>
          <w:color w:val="000000"/>
          <w:sz w:val="20"/>
          <w:szCs w:val="20"/>
          <w:shd w:val="clear" w:color="auto" w:fill="FFFFFF"/>
        </w:rPr>
      </w:pPr>
    </w:p>
    <w:p w14:paraId="4638E82F" w14:textId="392D79F7" w:rsidR="007833E8" w:rsidRPr="007833E8" w:rsidRDefault="007833E8" w:rsidP="007833E8">
      <w:pPr>
        <w:ind w:left="720" w:hanging="720"/>
        <w:rPr>
          <w:rFonts w:asciiTheme="majorHAnsi" w:eastAsia="Times New Roman" w:hAnsiTheme="majorHAnsi" w:cstheme="majorHAnsi"/>
        </w:rPr>
      </w:pPr>
      <w:r w:rsidRPr="007833E8">
        <w:rPr>
          <w:rFonts w:asciiTheme="majorHAnsi" w:eastAsia="Times New Roman" w:hAnsiTheme="majorHAnsi" w:cstheme="majorHAnsi"/>
          <w:color w:val="000000"/>
          <w:shd w:val="clear" w:color="auto" w:fill="FFFFFF"/>
        </w:rPr>
        <w:t>Tuktoyaktuk Community Corporation. (2018). </w:t>
      </w:r>
      <w:r w:rsidRPr="007833E8">
        <w:rPr>
          <w:rFonts w:asciiTheme="majorHAnsi" w:eastAsia="Times New Roman" w:hAnsiTheme="majorHAnsi" w:cstheme="majorHAnsi"/>
          <w:i/>
          <w:iCs/>
          <w:color w:val="000000"/>
        </w:rPr>
        <w:t>Tuktoyaktuk Community Climate Resilience Project</w:t>
      </w:r>
      <w:r w:rsidRPr="007833E8">
        <w:rPr>
          <w:rFonts w:asciiTheme="majorHAnsi" w:eastAsia="Times New Roman" w:hAnsiTheme="majorHAnsi" w:cstheme="majorHAnsi"/>
          <w:color w:val="000000"/>
          <w:shd w:val="clear" w:color="auto" w:fill="FFFFFF"/>
        </w:rPr>
        <w:t xml:space="preserve">. Tuktoyaktuk: Tuktoyaktuk Community Corporation. </w:t>
      </w:r>
    </w:p>
    <w:p w14:paraId="1B61FF88" w14:textId="1994BFD4" w:rsidR="00E81902" w:rsidRDefault="00E81902" w:rsidP="007833E8">
      <w:pPr>
        <w:contextualSpacing/>
        <w:rPr>
          <w:rFonts w:asciiTheme="majorHAnsi" w:eastAsia="Times New Roman" w:hAnsiTheme="majorHAnsi" w:cstheme="majorHAnsi"/>
          <w:color w:val="000000"/>
        </w:rPr>
      </w:pPr>
    </w:p>
    <w:p w14:paraId="7A8FDD10" w14:textId="7CCF1C06" w:rsidR="00E81902" w:rsidRDefault="00E81902" w:rsidP="00986AD3">
      <w:pPr>
        <w:ind w:left="720" w:hanging="720"/>
        <w:contextualSpacing/>
        <w:rPr>
          <w:rFonts w:asciiTheme="majorHAnsi" w:eastAsia="Times New Roman" w:hAnsiTheme="majorHAnsi" w:cstheme="majorHAnsi"/>
          <w:color w:val="000000"/>
        </w:rPr>
      </w:pPr>
      <w:r>
        <w:rPr>
          <w:rFonts w:asciiTheme="majorHAnsi" w:eastAsia="Times New Roman" w:hAnsiTheme="majorHAnsi" w:cstheme="majorHAnsi"/>
          <w:color w:val="000000"/>
        </w:rPr>
        <w:t>Usher, P.</w:t>
      </w:r>
      <w:r w:rsidR="00EC2164">
        <w:rPr>
          <w:rFonts w:asciiTheme="majorHAnsi" w:eastAsia="Times New Roman" w:hAnsiTheme="majorHAnsi" w:cstheme="majorHAnsi"/>
          <w:color w:val="000000"/>
        </w:rPr>
        <w:t xml:space="preserve"> (1</w:t>
      </w:r>
      <w:r>
        <w:rPr>
          <w:rFonts w:asciiTheme="majorHAnsi" w:eastAsia="Times New Roman" w:hAnsiTheme="majorHAnsi" w:cstheme="majorHAnsi"/>
          <w:color w:val="000000"/>
        </w:rPr>
        <w:t>993</w:t>
      </w:r>
      <w:r w:rsidR="00EC2164">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r w:rsidR="008718C4">
        <w:rPr>
          <w:rFonts w:asciiTheme="majorHAnsi" w:eastAsia="Times New Roman" w:hAnsiTheme="majorHAnsi" w:cstheme="majorHAnsi"/>
          <w:color w:val="000000"/>
        </w:rPr>
        <w:t>North</w:t>
      </w:r>
      <w:r>
        <w:rPr>
          <w:rFonts w:asciiTheme="majorHAnsi" w:eastAsia="Times New Roman" w:hAnsiTheme="majorHAnsi" w:cstheme="majorHAnsi"/>
          <w:color w:val="000000"/>
        </w:rPr>
        <w:t xml:space="preserve">ern Development, Impact Assessment, and Social Change. In N Dyck and J. B. </w:t>
      </w:r>
      <w:proofErr w:type="spellStart"/>
      <w:r>
        <w:rPr>
          <w:rFonts w:asciiTheme="majorHAnsi" w:eastAsia="Times New Roman" w:hAnsiTheme="majorHAnsi" w:cstheme="majorHAnsi"/>
          <w:color w:val="000000"/>
        </w:rPr>
        <w:t>Waldram</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eds</w:t>
      </w:r>
      <w:proofErr w:type="spellEnd"/>
      <w:r>
        <w:rPr>
          <w:rFonts w:asciiTheme="majorHAnsi" w:eastAsia="Times New Roman" w:hAnsiTheme="majorHAnsi" w:cstheme="majorHAnsi"/>
          <w:color w:val="000000"/>
        </w:rPr>
        <w:t xml:space="preserve">), </w:t>
      </w:r>
      <w:r>
        <w:rPr>
          <w:rFonts w:asciiTheme="majorHAnsi" w:eastAsia="Times New Roman" w:hAnsiTheme="majorHAnsi" w:cstheme="majorHAnsi"/>
          <w:i/>
          <w:color w:val="000000"/>
        </w:rPr>
        <w:t xml:space="preserve">Anthropology Public Policy and Native Peoples in Canada. </w:t>
      </w:r>
      <w:r>
        <w:rPr>
          <w:rFonts w:asciiTheme="majorHAnsi" w:eastAsia="Times New Roman" w:hAnsiTheme="majorHAnsi" w:cstheme="majorHAnsi"/>
          <w:color w:val="000000"/>
        </w:rPr>
        <w:t xml:space="preserve">Montreal and Kingston: McGill-Queen’s University Press: 98-130. </w:t>
      </w:r>
    </w:p>
    <w:p w14:paraId="23B1103C" w14:textId="5AC8914E" w:rsidR="00EC2164" w:rsidRDefault="00EC2164" w:rsidP="00986AD3">
      <w:pPr>
        <w:ind w:left="720" w:hanging="720"/>
        <w:contextualSpacing/>
        <w:rPr>
          <w:rFonts w:asciiTheme="majorHAnsi" w:eastAsia="Times New Roman" w:hAnsiTheme="majorHAnsi" w:cstheme="majorHAnsi"/>
          <w:color w:val="000000"/>
        </w:rPr>
      </w:pPr>
    </w:p>
    <w:p w14:paraId="5B7B506D" w14:textId="06054E2C" w:rsidR="00EC2164" w:rsidRPr="00EC2164" w:rsidRDefault="00EC2164" w:rsidP="00986AD3">
      <w:pPr>
        <w:ind w:left="720" w:hanging="720"/>
        <w:contextualSpacing/>
        <w:rPr>
          <w:rFonts w:asciiTheme="majorHAnsi" w:eastAsia="Times New Roman" w:hAnsiTheme="majorHAnsi" w:cstheme="majorHAnsi"/>
          <w:color w:val="000000"/>
        </w:rPr>
      </w:pPr>
      <w:r>
        <w:rPr>
          <w:rFonts w:asciiTheme="majorHAnsi" w:eastAsia="Times New Roman" w:hAnsiTheme="majorHAnsi" w:cstheme="majorHAnsi"/>
          <w:color w:val="000000"/>
        </w:rPr>
        <w:t xml:space="preserve">Usher, P. (2002). Inuvialuit use of the Beaufort Sea and its resources, 1960-200. </w:t>
      </w:r>
      <w:r>
        <w:rPr>
          <w:rFonts w:asciiTheme="majorHAnsi" w:eastAsia="Times New Roman" w:hAnsiTheme="majorHAnsi" w:cstheme="majorHAnsi"/>
          <w:i/>
          <w:color w:val="000000"/>
        </w:rPr>
        <w:t>Arctic 55</w:t>
      </w:r>
      <w:r>
        <w:rPr>
          <w:rFonts w:asciiTheme="majorHAnsi" w:eastAsia="Times New Roman" w:hAnsiTheme="majorHAnsi" w:cstheme="majorHAnsi"/>
          <w:color w:val="000000"/>
        </w:rPr>
        <w:t xml:space="preserve">, 18-28. </w:t>
      </w:r>
    </w:p>
    <w:p w14:paraId="4C76EE79" w14:textId="77777777" w:rsidR="00B272B4" w:rsidRPr="005668D4" w:rsidRDefault="00B272B4" w:rsidP="00986AD3">
      <w:pPr>
        <w:autoSpaceDE w:val="0"/>
        <w:autoSpaceDN w:val="0"/>
        <w:adjustRightInd w:val="0"/>
        <w:contextualSpacing/>
        <w:rPr>
          <w:rFonts w:asciiTheme="majorHAnsi" w:hAnsiTheme="majorHAnsi" w:cstheme="majorHAnsi"/>
          <w:lang w:val="en-US"/>
        </w:rPr>
      </w:pPr>
    </w:p>
    <w:p w14:paraId="07522C81" w14:textId="7332A331" w:rsidR="00A73DB8" w:rsidRDefault="00A73DB8" w:rsidP="00986AD3">
      <w:pPr>
        <w:autoSpaceDE w:val="0"/>
        <w:autoSpaceDN w:val="0"/>
        <w:adjustRightInd w:val="0"/>
        <w:ind w:left="720" w:hanging="720"/>
        <w:contextualSpacing/>
        <w:rPr>
          <w:rFonts w:asciiTheme="majorHAnsi" w:eastAsia="Times New Roman" w:hAnsiTheme="majorHAnsi" w:cstheme="majorHAnsi"/>
          <w:color w:val="000000"/>
        </w:rPr>
      </w:pPr>
      <w:r w:rsidRPr="005668D4">
        <w:rPr>
          <w:rFonts w:asciiTheme="majorHAnsi" w:eastAsia="Times New Roman" w:hAnsiTheme="majorHAnsi" w:cstheme="majorHAnsi"/>
          <w:color w:val="000000"/>
        </w:rPr>
        <w:t xml:space="preserve">The Wainwright Traditional Council. (2011). Climate Change, Food, and ‘Sharing’ among the </w:t>
      </w:r>
      <w:proofErr w:type="spellStart"/>
      <w:r w:rsidRPr="005668D4">
        <w:rPr>
          <w:rFonts w:asciiTheme="majorHAnsi" w:eastAsia="Times New Roman" w:hAnsiTheme="majorHAnsi" w:cstheme="majorHAnsi"/>
          <w:color w:val="000000"/>
        </w:rPr>
        <w:t>Iñupiat</w:t>
      </w:r>
      <w:proofErr w:type="spellEnd"/>
      <w:r w:rsidRPr="005668D4">
        <w:rPr>
          <w:rFonts w:asciiTheme="majorHAnsi" w:eastAsia="Times New Roman" w:hAnsiTheme="majorHAnsi" w:cstheme="majorHAnsi"/>
          <w:color w:val="000000"/>
        </w:rPr>
        <w:t xml:space="preserve"> of Wainwright, Alaska. </w:t>
      </w:r>
      <w:proofErr w:type="spellStart"/>
      <w:r w:rsidRPr="005668D4">
        <w:rPr>
          <w:rFonts w:asciiTheme="majorHAnsi" w:eastAsia="Times New Roman" w:hAnsiTheme="majorHAnsi" w:cstheme="majorHAnsi"/>
          <w:color w:val="000000"/>
        </w:rPr>
        <w:t>Ithica</w:t>
      </w:r>
      <w:proofErr w:type="spellEnd"/>
      <w:r w:rsidRPr="005668D4">
        <w:rPr>
          <w:rFonts w:asciiTheme="majorHAnsi" w:eastAsia="Times New Roman" w:hAnsiTheme="majorHAnsi" w:cstheme="majorHAnsi"/>
          <w:color w:val="000000"/>
        </w:rPr>
        <w:t xml:space="preserve">, New York: Cornell University. [Online]. Available: </w:t>
      </w:r>
      <w:hyperlink r:id="rId33" w:history="1">
        <w:r w:rsidRPr="00255120">
          <w:rPr>
            <w:rStyle w:val="Hyperlink"/>
            <w:rFonts w:asciiTheme="majorHAnsi" w:eastAsia="Times New Roman" w:hAnsiTheme="majorHAnsi" w:cstheme="majorHAnsi"/>
          </w:rPr>
          <w:t>http://www2.dnr.cornell.edu/kassam/publications/Climate_Change_Food_and_Sharing_in_Wainwright_Alaska.pdf</w:t>
        </w:r>
      </w:hyperlink>
    </w:p>
    <w:p w14:paraId="78AB7D04" w14:textId="77777777" w:rsidR="00A73DB8" w:rsidRDefault="00A73DB8" w:rsidP="00986AD3">
      <w:pPr>
        <w:autoSpaceDE w:val="0"/>
        <w:autoSpaceDN w:val="0"/>
        <w:adjustRightInd w:val="0"/>
        <w:ind w:left="720" w:hanging="720"/>
        <w:contextualSpacing/>
        <w:rPr>
          <w:rFonts w:asciiTheme="majorHAnsi" w:hAnsiTheme="majorHAnsi" w:cstheme="majorHAnsi"/>
          <w:lang w:val="en-US"/>
        </w:rPr>
      </w:pPr>
    </w:p>
    <w:p w14:paraId="3701BFC9" w14:textId="39DDA6BB" w:rsidR="00F50626" w:rsidRPr="005668D4" w:rsidRDefault="00F50626" w:rsidP="00986AD3">
      <w:pPr>
        <w:autoSpaceDE w:val="0"/>
        <w:autoSpaceDN w:val="0"/>
        <w:adjustRightInd w:val="0"/>
        <w:ind w:left="720" w:hanging="720"/>
        <w:contextualSpacing/>
        <w:rPr>
          <w:rFonts w:asciiTheme="majorHAnsi" w:hAnsiTheme="majorHAnsi" w:cstheme="majorHAnsi"/>
          <w:lang w:val="en-US"/>
        </w:rPr>
      </w:pPr>
      <w:r w:rsidRPr="005668D4">
        <w:rPr>
          <w:rFonts w:asciiTheme="majorHAnsi" w:hAnsiTheme="majorHAnsi" w:cstheme="majorHAnsi"/>
          <w:lang w:val="en-US"/>
        </w:rPr>
        <w:t xml:space="preserve">Waugh, D., Pearce, T., </w:t>
      </w:r>
      <w:proofErr w:type="spellStart"/>
      <w:r w:rsidRPr="005668D4">
        <w:rPr>
          <w:rFonts w:asciiTheme="majorHAnsi" w:hAnsiTheme="majorHAnsi" w:cstheme="majorHAnsi"/>
          <w:lang w:val="en-US"/>
        </w:rPr>
        <w:t>Ostertag</w:t>
      </w:r>
      <w:proofErr w:type="spellEnd"/>
      <w:r w:rsidRPr="005668D4">
        <w:rPr>
          <w:rFonts w:asciiTheme="majorHAnsi" w:hAnsiTheme="majorHAnsi" w:cstheme="majorHAnsi"/>
          <w:lang w:val="en-US"/>
        </w:rPr>
        <w:t xml:space="preserve">, S., </w:t>
      </w:r>
      <w:proofErr w:type="spellStart"/>
      <w:r w:rsidRPr="005668D4">
        <w:rPr>
          <w:rFonts w:asciiTheme="majorHAnsi" w:hAnsiTheme="majorHAnsi" w:cstheme="majorHAnsi"/>
          <w:lang w:val="en-US"/>
        </w:rPr>
        <w:t>Pokiak</w:t>
      </w:r>
      <w:proofErr w:type="spellEnd"/>
      <w:r w:rsidRPr="005668D4">
        <w:rPr>
          <w:rFonts w:asciiTheme="majorHAnsi" w:hAnsiTheme="majorHAnsi" w:cstheme="majorHAnsi"/>
          <w:lang w:val="en-US"/>
        </w:rPr>
        <w:t xml:space="preserve">, V., Collings, P., &amp; </w:t>
      </w:r>
      <w:proofErr w:type="spellStart"/>
      <w:r w:rsidRPr="005668D4">
        <w:rPr>
          <w:rFonts w:asciiTheme="majorHAnsi" w:hAnsiTheme="majorHAnsi" w:cstheme="majorHAnsi"/>
          <w:lang w:val="en-US"/>
        </w:rPr>
        <w:t>Loseto</w:t>
      </w:r>
      <w:proofErr w:type="spellEnd"/>
      <w:r w:rsidRPr="005668D4">
        <w:rPr>
          <w:rFonts w:asciiTheme="majorHAnsi" w:hAnsiTheme="majorHAnsi" w:cstheme="majorHAnsi"/>
          <w:lang w:val="en-US"/>
        </w:rPr>
        <w:t xml:space="preserve">, L. (2018). Inuvialuit traditional ecological knowledge of beluga whale (Delphinapterus leucas) under changing climatic conditions in Tuktoyaktuk, NT. </w:t>
      </w:r>
      <w:r w:rsidRPr="005668D4">
        <w:rPr>
          <w:rFonts w:asciiTheme="majorHAnsi" w:hAnsiTheme="majorHAnsi" w:cstheme="majorHAnsi"/>
          <w:i/>
          <w:iCs/>
          <w:lang w:val="en-US"/>
        </w:rPr>
        <w:t>Arctic Science</w:t>
      </w:r>
      <w:r w:rsidRPr="005668D4">
        <w:rPr>
          <w:rFonts w:asciiTheme="majorHAnsi" w:hAnsiTheme="majorHAnsi" w:cstheme="majorHAnsi"/>
          <w:lang w:val="en-US"/>
        </w:rPr>
        <w:t xml:space="preserve">, </w:t>
      </w:r>
      <w:r w:rsidRPr="005668D4">
        <w:rPr>
          <w:rFonts w:asciiTheme="majorHAnsi" w:hAnsiTheme="majorHAnsi" w:cstheme="majorHAnsi"/>
          <w:i/>
          <w:iCs/>
          <w:lang w:val="en-US"/>
        </w:rPr>
        <w:t>4</w:t>
      </w:r>
      <w:r w:rsidRPr="005668D4">
        <w:rPr>
          <w:rFonts w:asciiTheme="majorHAnsi" w:hAnsiTheme="majorHAnsi" w:cstheme="majorHAnsi"/>
          <w:lang w:val="en-US"/>
        </w:rPr>
        <w:t xml:space="preserve">(3), 242–258. </w:t>
      </w:r>
      <w:hyperlink r:id="rId34" w:history="1">
        <w:r w:rsidR="00AB49AE" w:rsidRPr="00255120">
          <w:rPr>
            <w:rStyle w:val="Hyperlink"/>
            <w:rFonts w:asciiTheme="majorHAnsi" w:hAnsiTheme="majorHAnsi" w:cstheme="majorHAnsi"/>
            <w:lang w:val="en-US"/>
          </w:rPr>
          <w:t>https://doi.org/10.1139/as-2017-0034</w:t>
        </w:r>
      </w:hyperlink>
      <w:r w:rsidR="00AB49AE">
        <w:rPr>
          <w:rFonts w:asciiTheme="majorHAnsi" w:hAnsiTheme="majorHAnsi" w:cstheme="majorHAnsi"/>
          <w:color w:val="000000" w:themeColor="text1"/>
          <w:lang w:val="en-US"/>
        </w:rPr>
        <w:t xml:space="preserve"> </w:t>
      </w:r>
    </w:p>
    <w:p w14:paraId="7C0C4C77" w14:textId="77777777" w:rsidR="00B272B4" w:rsidRPr="005668D4" w:rsidRDefault="00B272B4" w:rsidP="00986AD3">
      <w:pPr>
        <w:contextualSpacing/>
        <w:rPr>
          <w:rFonts w:asciiTheme="majorHAnsi" w:eastAsia="Times New Roman" w:hAnsiTheme="majorHAnsi" w:cstheme="majorHAnsi"/>
          <w:color w:val="000000"/>
        </w:rPr>
      </w:pPr>
    </w:p>
    <w:p w14:paraId="71AE2AF5" w14:textId="549F1630" w:rsidR="00600B19" w:rsidRPr="005668D4" w:rsidRDefault="00600B19" w:rsidP="00986AD3">
      <w:pPr>
        <w:ind w:left="720" w:hanging="720"/>
        <w:contextualSpacing/>
        <w:rPr>
          <w:rFonts w:asciiTheme="majorHAnsi" w:eastAsia="Times New Roman" w:hAnsiTheme="majorHAnsi" w:cstheme="majorHAnsi"/>
          <w:color w:val="000000"/>
        </w:rPr>
      </w:pPr>
      <w:proofErr w:type="spellStart"/>
      <w:r w:rsidRPr="005668D4">
        <w:rPr>
          <w:rFonts w:asciiTheme="majorHAnsi" w:eastAsia="Times New Roman" w:hAnsiTheme="majorHAnsi" w:cstheme="majorHAnsi"/>
          <w:color w:val="000000"/>
        </w:rPr>
        <w:lastRenderedPageBreak/>
        <w:t>Wesche</w:t>
      </w:r>
      <w:proofErr w:type="spellEnd"/>
      <w:r w:rsidRPr="005668D4">
        <w:rPr>
          <w:rFonts w:asciiTheme="majorHAnsi" w:eastAsia="Times New Roman" w:hAnsiTheme="majorHAnsi" w:cstheme="majorHAnsi"/>
          <w:color w:val="000000"/>
        </w:rPr>
        <w:t>, S., &amp; Chan, H. (2010). Adapting to the Impacts of Climate Change on Food Security among Inuit in the Western Canadian Arctic. </w:t>
      </w:r>
      <w:proofErr w:type="spellStart"/>
      <w:r w:rsidRPr="005668D4">
        <w:rPr>
          <w:rFonts w:asciiTheme="majorHAnsi" w:eastAsia="Times New Roman" w:hAnsiTheme="majorHAnsi" w:cstheme="majorHAnsi"/>
          <w:i/>
          <w:iCs/>
          <w:color w:val="000000"/>
        </w:rPr>
        <w:t>EcoHealth</w:t>
      </w:r>
      <w:proofErr w:type="spellEnd"/>
      <w:r w:rsidRPr="005668D4">
        <w:rPr>
          <w:rFonts w:asciiTheme="majorHAnsi" w:eastAsia="Times New Roman" w:hAnsiTheme="majorHAnsi" w:cstheme="majorHAnsi"/>
          <w:color w:val="000000"/>
        </w:rPr>
        <w:t>, </w:t>
      </w:r>
      <w:r w:rsidRPr="005668D4">
        <w:rPr>
          <w:rFonts w:asciiTheme="majorHAnsi" w:eastAsia="Times New Roman" w:hAnsiTheme="majorHAnsi" w:cstheme="majorHAnsi"/>
          <w:i/>
          <w:iCs/>
          <w:color w:val="000000"/>
        </w:rPr>
        <w:t>7</w:t>
      </w:r>
      <w:r w:rsidRPr="005668D4">
        <w:rPr>
          <w:rFonts w:asciiTheme="majorHAnsi" w:eastAsia="Times New Roman" w:hAnsiTheme="majorHAnsi" w:cstheme="majorHAnsi"/>
          <w:color w:val="000000"/>
        </w:rPr>
        <w:t xml:space="preserve">(3), 361–373. </w:t>
      </w:r>
      <w:hyperlink r:id="rId35" w:history="1">
        <w:r w:rsidR="00AB49AE" w:rsidRPr="00255120">
          <w:rPr>
            <w:rStyle w:val="Hyperlink"/>
            <w:rFonts w:asciiTheme="majorHAnsi" w:eastAsia="Times New Roman" w:hAnsiTheme="majorHAnsi" w:cstheme="majorHAnsi"/>
          </w:rPr>
          <w:t>https://doi.org/10.1007/s10393-010-0344-8</w:t>
        </w:r>
      </w:hyperlink>
      <w:r w:rsidR="00AB49AE">
        <w:rPr>
          <w:rFonts w:asciiTheme="majorHAnsi" w:eastAsia="Times New Roman" w:hAnsiTheme="majorHAnsi" w:cstheme="majorHAnsi"/>
          <w:color w:val="000000"/>
        </w:rPr>
        <w:t xml:space="preserve"> </w:t>
      </w:r>
    </w:p>
    <w:p w14:paraId="38E9855E" w14:textId="77777777" w:rsidR="00600B19" w:rsidRPr="005668D4" w:rsidRDefault="00600B19" w:rsidP="00986AD3">
      <w:pPr>
        <w:contextualSpacing/>
        <w:rPr>
          <w:rFonts w:asciiTheme="majorHAnsi" w:eastAsia="Times New Roman" w:hAnsiTheme="majorHAnsi" w:cstheme="majorHAnsi"/>
          <w:color w:val="000000"/>
        </w:rPr>
      </w:pPr>
    </w:p>
    <w:p w14:paraId="6404AA56" w14:textId="49221085" w:rsidR="001974DF" w:rsidRPr="007833E8" w:rsidRDefault="00B272B4" w:rsidP="007833E8">
      <w:pPr>
        <w:ind w:left="720" w:hanging="720"/>
        <w:contextualSpacing/>
        <w:rPr>
          <w:rFonts w:asciiTheme="majorHAnsi" w:eastAsia="Times New Roman" w:hAnsiTheme="majorHAnsi" w:cstheme="majorHAnsi"/>
          <w:color w:val="000000"/>
        </w:rPr>
      </w:pPr>
      <w:proofErr w:type="spellStart"/>
      <w:r w:rsidRPr="005668D4">
        <w:rPr>
          <w:rFonts w:asciiTheme="majorHAnsi" w:eastAsia="Times New Roman" w:hAnsiTheme="majorHAnsi" w:cstheme="majorHAnsi"/>
          <w:color w:val="000000"/>
        </w:rPr>
        <w:t>Wesche</w:t>
      </w:r>
      <w:proofErr w:type="spellEnd"/>
      <w:r w:rsidRPr="005668D4">
        <w:rPr>
          <w:rFonts w:asciiTheme="majorHAnsi" w:eastAsia="Times New Roman" w:hAnsiTheme="majorHAnsi" w:cstheme="majorHAnsi"/>
          <w:color w:val="000000"/>
        </w:rPr>
        <w:t xml:space="preserve">, S., O'Hare-Gordon, M., </w:t>
      </w:r>
      <w:proofErr w:type="spellStart"/>
      <w:r w:rsidRPr="005668D4">
        <w:rPr>
          <w:rFonts w:asciiTheme="majorHAnsi" w:eastAsia="Times New Roman" w:hAnsiTheme="majorHAnsi" w:cstheme="majorHAnsi"/>
          <w:color w:val="000000"/>
        </w:rPr>
        <w:t>Robidoux</w:t>
      </w:r>
      <w:proofErr w:type="spellEnd"/>
      <w:r w:rsidRPr="005668D4">
        <w:rPr>
          <w:rFonts w:asciiTheme="majorHAnsi" w:eastAsia="Times New Roman" w:hAnsiTheme="majorHAnsi" w:cstheme="majorHAnsi"/>
          <w:color w:val="000000"/>
        </w:rPr>
        <w:t xml:space="preserve">, M., &amp; Mason, C. (2016). Land-Based programs in the </w:t>
      </w:r>
      <w:r w:rsidR="008718C4">
        <w:rPr>
          <w:rFonts w:asciiTheme="majorHAnsi" w:eastAsia="Times New Roman" w:hAnsiTheme="majorHAnsi" w:cstheme="majorHAnsi"/>
          <w:color w:val="000000"/>
        </w:rPr>
        <w:t>North</w:t>
      </w:r>
      <w:r w:rsidRPr="005668D4">
        <w:rPr>
          <w:rFonts w:asciiTheme="majorHAnsi" w:eastAsia="Times New Roman" w:hAnsiTheme="majorHAnsi" w:cstheme="majorHAnsi"/>
          <w:color w:val="000000"/>
        </w:rPr>
        <w:t>west Territories: Building Indigenous food security and well-being from the ground up</w:t>
      </w:r>
      <w:r w:rsidRPr="00EC2164">
        <w:rPr>
          <w:rFonts w:asciiTheme="majorHAnsi" w:eastAsia="Times New Roman" w:hAnsiTheme="majorHAnsi" w:cstheme="majorHAnsi"/>
          <w:i/>
          <w:color w:val="000000"/>
        </w:rPr>
        <w:t xml:space="preserve">. Canadian Food Studies / La Revue Canadienne Des Études Sur </w:t>
      </w:r>
      <w:proofErr w:type="spellStart"/>
      <w:r w:rsidRPr="00EC2164">
        <w:rPr>
          <w:rFonts w:asciiTheme="majorHAnsi" w:eastAsia="Times New Roman" w:hAnsiTheme="majorHAnsi" w:cstheme="majorHAnsi"/>
          <w:i/>
          <w:color w:val="000000"/>
        </w:rPr>
        <w:t>L'alimentation</w:t>
      </w:r>
      <w:proofErr w:type="spellEnd"/>
      <w:r w:rsidRPr="00EC2164">
        <w:rPr>
          <w:rFonts w:asciiTheme="majorHAnsi" w:eastAsia="Times New Roman" w:hAnsiTheme="majorHAnsi" w:cstheme="majorHAnsi"/>
          <w:i/>
          <w:color w:val="000000"/>
        </w:rPr>
        <w:t>, 3</w:t>
      </w:r>
      <w:r w:rsidRPr="005668D4">
        <w:rPr>
          <w:rFonts w:asciiTheme="majorHAnsi" w:eastAsia="Times New Roman" w:hAnsiTheme="majorHAnsi" w:cstheme="majorHAnsi"/>
          <w:color w:val="000000"/>
        </w:rPr>
        <w:t xml:space="preserve">(2), 23. </w:t>
      </w:r>
      <w:hyperlink r:id="rId36" w:history="1">
        <w:r w:rsidR="00AB49AE" w:rsidRPr="00255120">
          <w:rPr>
            <w:rStyle w:val="Hyperlink"/>
            <w:rFonts w:asciiTheme="majorHAnsi" w:eastAsia="Times New Roman" w:hAnsiTheme="majorHAnsi" w:cstheme="majorHAnsi"/>
          </w:rPr>
          <w:t>https://doi.org/10.15353/cfs-rcea.v3i2.161</w:t>
        </w:r>
      </w:hyperlink>
      <w:r w:rsidR="00AB49AE">
        <w:rPr>
          <w:rFonts w:asciiTheme="majorHAnsi" w:eastAsia="Times New Roman" w:hAnsiTheme="majorHAnsi" w:cstheme="majorHAnsi"/>
          <w:color w:val="000000"/>
        </w:rPr>
        <w:t xml:space="preserve"> </w:t>
      </w:r>
    </w:p>
    <w:sectPr w:rsidR="001974DF" w:rsidRPr="007833E8" w:rsidSect="00911C83">
      <w:pgSz w:w="12242" w:h="15842" w:code="3"/>
      <w:pgMar w:top="1440" w:right="1440" w:bottom="1440" w:left="1440" w:header="142" w:footer="3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B196A37"/>
    <w:multiLevelType w:val="hybridMultilevel"/>
    <w:tmpl w:val="2E084964"/>
    <w:lvl w:ilvl="0" w:tplc="1A7679E8">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13002"/>
    <w:multiLevelType w:val="hybridMultilevel"/>
    <w:tmpl w:val="2A44FDC0"/>
    <w:lvl w:ilvl="0" w:tplc="784433E4">
      <w:start w:val="1"/>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600D4"/>
    <w:multiLevelType w:val="hybridMultilevel"/>
    <w:tmpl w:val="CAB4E212"/>
    <w:lvl w:ilvl="0" w:tplc="B930F468">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A6341"/>
    <w:multiLevelType w:val="hybridMultilevel"/>
    <w:tmpl w:val="B5A4FD7C"/>
    <w:lvl w:ilvl="0" w:tplc="BFE402C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C5549"/>
    <w:multiLevelType w:val="hybridMultilevel"/>
    <w:tmpl w:val="B5C6DD82"/>
    <w:lvl w:ilvl="0" w:tplc="471C8F7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7"/>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77"/>
    <w:rsid w:val="00011361"/>
    <w:rsid w:val="0003108C"/>
    <w:rsid w:val="00040DD6"/>
    <w:rsid w:val="000529B1"/>
    <w:rsid w:val="00060764"/>
    <w:rsid w:val="0007328E"/>
    <w:rsid w:val="00084C8C"/>
    <w:rsid w:val="000A1CD9"/>
    <w:rsid w:val="000E1DFC"/>
    <w:rsid w:val="000F2A57"/>
    <w:rsid w:val="000F42CF"/>
    <w:rsid w:val="000F7B89"/>
    <w:rsid w:val="00104751"/>
    <w:rsid w:val="001073AA"/>
    <w:rsid w:val="00115CB9"/>
    <w:rsid w:val="00170FA3"/>
    <w:rsid w:val="00184DC8"/>
    <w:rsid w:val="00190143"/>
    <w:rsid w:val="001974DF"/>
    <w:rsid w:val="001A50C4"/>
    <w:rsid w:val="001A5ED6"/>
    <w:rsid w:val="001B3A30"/>
    <w:rsid w:val="001D7E00"/>
    <w:rsid w:val="001E1156"/>
    <w:rsid w:val="001F666A"/>
    <w:rsid w:val="00200BD2"/>
    <w:rsid w:val="00212A33"/>
    <w:rsid w:val="00223C75"/>
    <w:rsid w:val="00244A4D"/>
    <w:rsid w:val="00266958"/>
    <w:rsid w:val="0029292B"/>
    <w:rsid w:val="002A2623"/>
    <w:rsid w:val="002B0447"/>
    <w:rsid w:val="002B3642"/>
    <w:rsid w:val="002F0852"/>
    <w:rsid w:val="002F0EC8"/>
    <w:rsid w:val="002F4177"/>
    <w:rsid w:val="003060CD"/>
    <w:rsid w:val="003111DB"/>
    <w:rsid w:val="00344B08"/>
    <w:rsid w:val="00350443"/>
    <w:rsid w:val="00353905"/>
    <w:rsid w:val="00370D04"/>
    <w:rsid w:val="00391365"/>
    <w:rsid w:val="003A05C1"/>
    <w:rsid w:val="003F6A74"/>
    <w:rsid w:val="00426F82"/>
    <w:rsid w:val="004355D8"/>
    <w:rsid w:val="004619E5"/>
    <w:rsid w:val="0046326F"/>
    <w:rsid w:val="004843A3"/>
    <w:rsid w:val="00485E04"/>
    <w:rsid w:val="00491FFE"/>
    <w:rsid w:val="004A055F"/>
    <w:rsid w:val="004B4A82"/>
    <w:rsid w:val="004C6386"/>
    <w:rsid w:val="004E3E8D"/>
    <w:rsid w:val="005057F2"/>
    <w:rsid w:val="005127EB"/>
    <w:rsid w:val="005241E9"/>
    <w:rsid w:val="00552EF0"/>
    <w:rsid w:val="005570F6"/>
    <w:rsid w:val="005668D4"/>
    <w:rsid w:val="00572471"/>
    <w:rsid w:val="00574B8F"/>
    <w:rsid w:val="00580FBB"/>
    <w:rsid w:val="00585A22"/>
    <w:rsid w:val="00592C6C"/>
    <w:rsid w:val="00592D76"/>
    <w:rsid w:val="00597DA9"/>
    <w:rsid w:val="005A0CC5"/>
    <w:rsid w:val="005B0C5F"/>
    <w:rsid w:val="005B5558"/>
    <w:rsid w:val="005C361F"/>
    <w:rsid w:val="005D19EB"/>
    <w:rsid w:val="00600B19"/>
    <w:rsid w:val="00600D5F"/>
    <w:rsid w:val="00601B86"/>
    <w:rsid w:val="00633991"/>
    <w:rsid w:val="0064677F"/>
    <w:rsid w:val="00650E04"/>
    <w:rsid w:val="00652727"/>
    <w:rsid w:val="0065591F"/>
    <w:rsid w:val="00664E6C"/>
    <w:rsid w:val="00695838"/>
    <w:rsid w:val="006A2BE5"/>
    <w:rsid w:val="006F6E54"/>
    <w:rsid w:val="00717BE0"/>
    <w:rsid w:val="007253F7"/>
    <w:rsid w:val="007407D5"/>
    <w:rsid w:val="0075519B"/>
    <w:rsid w:val="00757A59"/>
    <w:rsid w:val="00764ADE"/>
    <w:rsid w:val="00770730"/>
    <w:rsid w:val="00781B17"/>
    <w:rsid w:val="00782E8D"/>
    <w:rsid w:val="007833E8"/>
    <w:rsid w:val="007941B5"/>
    <w:rsid w:val="007973D3"/>
    <w:rsid w:val="007A28B0"/>
    <w:rsid w:val="007C6D2E"/>
    <w:rsid w:val="007E3162"/>
    <w:rsid w:val="007E5AA7"/>
    <w:rsid w:val="007F5B59"/>
    <w:rsid w:val="007F6528"/>
    <w:rsid w:val="007F701A"/>
    <w:rsid w:val="00811711"/>
    <w:rsid w:val="00814627"/>
    <w:rsid w:val="00817D9C"/>
    <w:rsid w:val="00837B06"/>
    <w:rsid w:val="0084550F"/>
    <w:rsid w:val="0085226C"/>
    <w:rsid w:val="008718C4"/>
    <w:rsid w:val="00872E21"/>
    <w:rsid w:val="008771F5"/>
    <w:rsid w:val="00877BB1"/>
    <w:rsid w:val="00887234"/>
    <w:rsid w:val="00895DCB"/>
    <w:rsid w:val="00897DB8"/>
    <w:rsid w:val="008A04EC"/>
    <w:rsid w:val="008A42D3"/>
    <w:rsid w:val="008C0F65"/>
    <w:rsid w:val="008E22E7"/>
    <w:rsid w:val="008E6FB5"/>
    <w:rsid w:val="008F2216"/>
    <w:rsid w:val="00902BC7"/>
    <w:rsid w:val="00911C83"/>
    <w:rsid w:val="009217FE"/>
    <w:rsid w:val="009317D2"/>
    <w:rsid w:val="00933B8A"/>
    <w:rsid w:val="00945D01"/>
    <w:rsid w:val="00947224"/>
    <w:rsid w:val="00953C18"/>
    <w:rsid w:val="00963649"/>
    <w:rsid w:val="00986AD3"/>
    <w:rsid w:val="0099286E"/>
    <w:rsid w:val="00993E6D"/>
    <w:rsid w:val="009C281E"/>
    <w:rsid w:val="009D086D"/>
    <w:rsid w:val="009D0AFC"/>
    <w:rsid w:val="009D2F1A"/>
    <w:rsid w:val="009D3265"/>
    <w:rsid w:val="009F3DF2"/>
    <w:rsid w:val="00A073FA"/>
    <w:rsid w:val="00A1049C"/>
    <w:rsid w:val="00A16860"/>
    <w:rsid w:val="00A16A76"/>
    <w:rsid w:val="00A20460"/>
    <w:rsid w:val="00A212D0"/>
    <w:rsid w:val="00A61B6C"/>
    <w:rsid w:val="00A73DB8"/>
    <w:rsid w:val="00A74D7F"/>
    <w:rsid w:val="00A840B8"/>
    <w:rsid w:val="00AB49AE"/>
    <w:rsid w:val="00AC09FD"/>
    <w:rsid w:val="00AF68D2"/>
    <w:rsid w:val="00B272B4"/>
    <w:rsid w:val="00B42B3E"/>
    <w:rsid w:val="00B5626F"/>
    <w:rsid w:val="00B74C44"/>
    <w:rsid w:val="00B93786"/>
    <w:rsid w:val="00B93EE4"/>
    <w:rsid w:val="00B9580D"/>
    <w:rsid w:val="00BA3467"/>
    <w:rsid w:val="00BA51C8"/>
    <w:rsid w:val="00BA596C"/>
    <w:rsid w:val="00BC083B"/>
    <w:rsid w:val="00BC6EFB"/>
    <w:rsid w:val="00BD3B56"/>
    <w:rsid w:val="00C31EB4"/>
    <w:rsid w:val="00C35026"/>
    <w:rsid w:val="00C36973"/>
    <w:rsid w:val="00C4609D"/>
    <w:rsid w:val="00C53441"/>
    <w:rsid w:val="00C63E15"/>
    <w:rsid w:val="00C727B5"/>
    <w:rsid w:val="00C72D7B"/>
    <w:rsid w:val="00C75A79"/>
    <w:rsid w:val="00C90326"/>
    <w:rsid w:val="00C90767"/>
    <w:rsid w:val="00CA6DF5"/>
    <w:rsid w:val="00CF3F22"/>
    <w:rsid w:val="00CF758C"/>
    <w:rsid w:val="00D13791"/>
    <w:rsid w:val="00D20DC9"/>
    <w:rsid w:val="00D476F6"/>
    <w:rsid w:val="00D8143C"/>
    <w:rsid w:val="00D95930"/>
    <w:rsid w:val="00E36044"/>
    <w:rsid w:val="00E45811"/>
    <w:rsid w:val="00E62FAA"/>
    <w:rsid w:val="00E676F8"/>
    <w:rsid w:val="00E75EDD"/>
    <w:rsid w:val="00E81902"/>
    <w:rsid w:val="00EC2164"/>
    <w:rsid w:val="00F10804"/>
    <w:rsid w:val="00F43814"/>
    <w:rsid w:val="00F50626"/>
    <w:rsid w:val="00F636B9"/>
    <w:rsid w:val="00FC3335"/>
    <w:rsid w:val="00FC7715"/>
    <w:rsid w:val="00FE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5CC6B"/>
  <w15:chartTrackingRefBased/>
  <w15:docId w15:val="{67071905-0B7E-6A47-8B1C-0012ECC9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4177"/>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A4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676F8"/>
    <w:pPr>
      <w:ind w:left="720"/>
      <w:contextualSpacing/>
    </w:pPr>
  </w:style>
  <w:style w:type="character" w:styleId="Hyperlink">
    <w:name w:val="Hyperlink"/>
    <w:basedOn w:val="DefaultParagraphFont"/>
    <w:uiPriority w:val="99"/>
    <w:unhideWhenUsed/>
    <w:rsid w:val="00E676F8"/>
    <w:rPr>
      <w:color w:val="0563C1" w:themeColor="hyperlink"/>
      <w:u w:val="single"/>
    </w:rPr>
  </w:style>
  <w:style w:type="character" w:styleId="UnresolvedMention">
    <w:name w:val="Unresolved Mention"/>
    <w:basedOn w:val="DefaultParagraphFont"/>
    <w:uiPriority w:val="99"/>
    <w:rsid w:val="00E676F8"/>
    <w:rPr>
      <w:color w:val="605E5C"/>
      <w:shd w:val="clear" w:color="auto" w:fill="E1DFDD"/>
    </w:rPr>
  </w:style>
  <w:style w:type="character" w:styleId="FollowedHyperlink">
    <w:name w:val="FollowedHyperlink"/>
    <w:basedOn w:val="DefaultParagraphFont"/>
    <w:uiPriority w:val="99"/>
    <w:semiHidden/>
    <w:unhideWhenUsed/>
    <w:rsid w:val="00811711"/>
    <w:rPr>
      <w:color w:val="954F72" w:themeColor="followedHyperlink"/>
      <w:u w:val="single"/>
    </w:rPr>
  </w:style>
  <w:style w:type="character" w:styleId="CommentReference">
    <w:name w:val="annotation reference"/>
    <w:basedOn w:val="DefaultParagraphFont"/>
    <w:uiPriority w:val="99"/>
    <w:semiHidden/>
    <w:unhideWhenUsed/>
    <w:rsid w:val="009217FE"/>
    <w:rPr>
      <w:sz w:val="16"/>
      <w:szCs w:val="16"/>
    </w:rPr>
  </w:style>
  <w:style w:type="paragraph" w:styleId="CommentText">
    <w:name w:val="annotation text"/>
    <w:basedOn w:val="Normal"/>
    <w:link w:val="CommentTextChar"/>
    <w:uiPriority w:val="99"/>
    <w:semiHidden/>
    <w:unhideWhenUsed/>
    <w:rsid w:val="009217FE"/>
    <w:rPr>
      <w:sz w:val="20"/>
      <w:szCs w:val="20"/>
    </w:rPr>
  </w:style>
  <w:style w:type="character" w:customStyle="1" w:styleId="CommentTextChar">
    <w:name w:val="Comment Text Char"/>
    <w:basedOn w:val="DefaultParagraphFont"/>
    <w:link w:val="CommentText"/>
    <w:uiPriority w:val="99"/>
    <w:semiHidden/>
    <w:rsid w:val="009217FE"/>
    <w:rPr>
      <w:sz w:val="20"/>
      <w:szCs w:val="20"/>
      <w:lang w:val="en-CA"/>
    </w:rPr>
  </w:style>
  <w:style w:type="paragraph" w:styleId="CommentSubject">
    <w:name w:val="annotation subject"/>
    <w:basedOn w:val="CommentText"/>
    <w:next w:val="CommentText"/>
    <w:link w:val="CommentSubjectChar"/>
    <w:uiPriority w:val="99"/>
    <w:semiHidden/>
    <w:unhideWhenUsed/>
    <w:rsid w:val="009217FE"/>
    <w:rPr>
      <w:b/>
      <w:bCs/>
    </w:rPr>
  </w:style>
  <w:style w:type="character" w:customStyle="1" w:styleId="CommentSubjectChar">
    <w:name w:val="Comment Subject Char"/>
    <w:basedOn w:val="CommentTextChar"/>
    <w:link w:val="CommentSubject"/>
    <w:uiPriority w:val="99"/>
    <w:semiHidden/>
    <w:rsid w:val="009217FE"/>
    <w:rPr>
      <w:b/>
      <w:bCs/>
      <w:sz w:val="20"/>
      <w:szCs w:val="20"/>
      <w:lang w:val="en-CA"/>
    </w:rPr>
  </w:style>
  <w:style w:type="paragraph" w:styleId="BalloonText">
    <w:name w:val="Balloon Text"/>
    <w:basedOn w:val="Normal"/>
    <w:link w:val="BalloonTextChar"/>
    <w:uiPriority w:val="99"/>
    <w:semiHidden/>
    <w:unhideWhenUsed/>
    <w:rsid w:val="009217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17FE"/>
    <w:rPr>
      <w:rFonts w:ascii="Times New Roman" w:hAnsi="Times New Roman" w:cs="Times New Roman"/>
      <w:sz w:val="18"/>
      <w:szCs w:val="18"/>
      <w:lang w:val="en-CA"/>
    </w:rPr>
  </w:style>
  <w:style w:type="character" w:customStyle="1" w:styleId="apple-converted-space">
    <w:name w:val="apple-converted-space"/>
    <w:basedOn w:val="DefaultParagraphFont"/>
    <w:rsid w:val="0078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2425">
      <w:bodyDiv w:val="1"/>
      <w:marLeft w:val="0"/>
      <w:marRight w:val="0"/>
      <w:marTop w:val="0"/>
      <w:marBottom w:val="0"/>
      <w:divBdr>
        <w:top w:val="none" w:sz="0" w:space="0" w:color="auto"/>
        <w:left w:val="none" w:sz="0" w:space="0" w:color="auto"/>
        <w:bottom w:val="none" w:sz="0" w:space="0" w:color="auto"/>
        <w:right w:val="none" w:sz="0" w:space="0" w:color="auto"/>
      </w:divBdr>
    </w:div>
    <w:div w:id="44262427">
      <w:bodyDiv w:val="1"/>
      <w:marLeft w:val="0"/>
      <w:marRight w:val="0"/>
      <w:marTop w:val="0"/>
      <w:marBottom w:val="0"/>
      <w:divBdr>
        <w:top w:val="none" w:sz="0" w:space="0" w:color="auto"/>
        <w:left w:val="none" w:sz="0" w:space="0" w:color="auto"/>
        <w:bottom w:val="none" w:sz="0" w:space="0" w:color="auto"/>
        <w:right w:val="none" w:sz="0" w:space="0" w:color="auto"/>
      </w:divBdr>
    </w:div>
    <w:div w:id="57092136">
      <w:bodyDiv w:val="1"/>
      <w:marLeft w:val="0"/>
      <w:marRight w:val="0"/>
      <w:marTop w:val="0"/>
      <w:marBottom w:val="0"/>
      <w:divBdr>
        <w:top w:val="none" w:sz="0" w:space="0" w:color="auto"/>
        <w:left w:val="none" w:sz="0" w:space="0" w:color="auto"/>
        <w:bottom w:val="none" w:sz="0" w:space="0" w:color="auto"/>
        <w:right w:val="none" w:sz="0" w:space="0" w:color="auto"/>
      </w:divBdr>
    </w:div>
    <w:div w:id="109513855">
      <w:bodyDiv w:val="1"/>
      <w:marLeft w:val="0"/>
      <w:marRight w:val="0"/>
      <w:marTop w:val="0"/>
      <w:marBottom w:val="0"/>
      <w:divBdr>
        <w:top w:val="none" w:sz="0" w:space="0" w:color="auto"/>
        <w:left w:val="none" w:sz="0" w:space="0" w:color="auto"/>
        <w:bottom w:val="none" w:sz="0" w:space="0" w:color="auto"/>
        <w:right w:val="none" w:sz="0" w:space="0" w:color="auto"/>
      </w:divBdr>
    </w:div>
    <w:div w:id="111553679">
      <w:bodyDiv w:val="1"/>
      <w:marLeft w:val="0"/>
      <w:marRight w:val="0"/>
      <w:marTop w:val="0"/>
      <w:marBottom w:val="0"/>
      <w:divBdr>
        <w:top w:val="none" w:sz="0" w:space="0" w:color="auto"/>
        <w:left w:val="none" w:sz="0" w:space="0" w:color="auto"/>
        <w:bottom w:val="none" w:sz="0" w:space="0" w:color="auto"/>
        <w:right w:val="none" w:sz="0" w:space="0" w:color="auto"/>
      </w:divBdr>
    </w:div>
    <w:div w:id="173424816">
      <w:bodyDiv w:val="1"/>
      <w:marLeft w:val="0"/>
      <w:marRight w:val="0"/>
      <w:marTop w:val="0"/>
      <w:marBottom w:val="0"/>
      <w:divBdr>
        <w:top w:val="none" w:sz="0" w:space="0" w:color="auto"/>
        <w:left w:val="none" w:sz="0" w:space="0" w:color="auto"/>
        <w:bottom w:val="none" w:sz="0" w:space="0" w:color="auto"/>
        <w:right w:val="none" w:sz="0" w:space="0" w:color="auto"/>
      </w:divBdr>
      <w:divsChild>
        <w:div w:id="223220461">
          <w:marLeft w:val="0"/>
          <w:marRight w:val="0"/>
          <w:marTop w:val="0"/>
          <w:marBottom w:val="0"/>
          <w:divBdr>
            <w:top w:val="none" w:sz="0" w:space="0" w:color="auto"/>
            <w:left w:val="none" w:sz="0" w:space="0" w:color="auto"/>
            <w:bottom w:val="none" w:sz="0" w:space="0" w:color="auto"/>
            <w:right w:val="none" w:sz="0" w:space="0" w:color="auto"/>
          </w:divBdr>
          <w:divsChild>
            <w:div w:id="1187251604">
              <w:marLeft w:val="0"/>
              <w:marRight w:val="0"/>
              <w:marTop w:val="0"/>
              <w:marBottom w:val="0"/>
              <w:divBdr>
                <w:top w:val="none" w:sz="0" w:space="0" w:color="auto"/>
                <w:left w:val="none" w:sz="0" w:space="0" w:color="auto"/>
                <w:bottom w:val="none" w:sz="0" w:space="0" w:color="auto"/>
                <w:right w:val="none" w:sz="0" w:space="0" w:color="auto"/>
              </w:divBdr>
              <w:divsChild>
                <w:div w:id="498691943">
                  <w:marLeft w:val="0"/>
                  <w:marRight w:val="0"/>
                  <w:marTop w:val="0"/>
                  <w:marBottom w:val="0"/>
                  <w:divBdr>
                    <w:top w:val="none" w:sz="0" w:space="0" w:color="auto"/>
                    <w:left w:val="none" w:sz="0" w:space="0" w:color="auto"/>
                    <w:bottom w:val="none" w:sz="0" w:space="0" w:color="auto"/>
                    <w:right w:val="none" w:sz="0" w:space="0" w:color="auto"/>
                  </w:divBdr>
                </w:div>
                <w:div w:id="16298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8324">
      <w:bodyDiv w:val="1"/>
      <w:marLeft w:val="0"/>
      <w:marRight w:val="0"/>
      <w:marTop w:val="0"/>
      <w:marBottom w:val="0"/>
      <w:divBdr>
        <w:top w:val="none" w:sz="0" w:space="0" w:color="auto"/>
        <w:left w:val="none" w:sz="0" w:space="0" w:color="auto"/>
        <w:bottom w:val="none" w:sz="0" w:space="0" w:color="auto"/>
        <w:right w:val="none" w:sz="0" w:space="0" w:color="auto"/>
      </w:divBdr>
    </w:div>
    <w:div w:id="187764524">
      <w:bodyDiv w:val="1"/>
      <w:marLeft w:val="0"/>
      <w:marRight w:val="0"/>
      <w:marTop w:val="0"/>
      <w:marBottom w:val="0"/>
      <w:divBdr>
        <w:top w:val="none" w:sz="0" w:space="0" w:color="auto"/>
        <w:left w:val="none" w:sz="0" w:space="0" w:color="auto"/>
        <w:bottom w:val="none" w:sz="0" w:space="0" w:color="auto"/>
        <w:right w:val="none" w:sz="0" w:space="0" w:color="auto"/>
      </w:divBdr>
    </w:div>
    <w:div w:id="190995373">
      <w:bodyDiv w:val="1"/>
      <w:marLeft w:val="0"/>
      <w:marRight w:val="0"/>
      <w:marTop w:val="0"/>
      <w:marBottom w:val="0"/>
      <w:divBdr>
        <w:top w:val="none" w:sz="0" w:space="0" w:color="auto"/>
        <w:left w:val="none" w:sz="0" w:space="0" w:color="auto"/>
        <w:bottom w:val="none" w:sz="0" w:space="0" w:color="auto"/>
        <w:right w:val="none" w:sz="0" w:space="0" w:color="auto"/>
      </w:divBdr>
    </w:div>
    <w:div w:id="295795540">
      <w:bodyDiv w:val="1"/>
      <w:marLeft w:val="0"/>
      <w:marRight w:val="0"/>
      <w:marTop w:val="0"/>
      <w:marBottom w:val="0"/>
      <w:divBdr>
        <w:top w:val="none" w:sz="0" w:space="0" w:color="auto"/>
        <w:left w:val="none" w:sz="0" w:space="0" w:color="auto"/>
        <w:bottom w:val="none" w:sz="0" w:space="0" w:color="auto"/>
        <w:right w:val="none" w:sz="0" w:space="0" w:color="auto"/>
      </w:divBdr>
      <w:divsChild>
        <w:div w:id="994262628">
          <w:marLeft w:val="0"/>
          <w:marRight w:val="0"/>
          <w:marTop w:val="0"/>
          <w:marBottom w:val="0"/>
          <w:divBdr>
            <w:top w:val="none" w:sz="0" w:space="0" w:color="auto"/>
            <w:left w:val="none" w:sz="0" w:space="0" w:color="auto"/>
            <w:bottom w:val="none" w:sz="0" w:space="0" w:color="auto"/>
            <w:right w:val="none" w:sz="0" w:space="0" w:color="auto"/>
          </w:divBdr>
          <w:divsChild>
            <w:div w:id="1724131429">
              <w:marLeft w:val="0"/>
              <w:marRight w:val="0"/>
              <w:marTop w:val="0"/>
              <w:marBottom w:val="0"/>
              <w:divBdr>
                <w:top w:val="none" w:sz="0" w:space="0" w:color="auto"/>
                <w:left w:val="none" w:sz="0" w:space="0" w:color="auto"/>
                <w:bottom w:val="none" w:sz="0" w:space="0" w:color="auto"/>
                <w:right w:val="none" w:sz="0" w:space="0" w:color="auto"/>
              </w:divBdr>
              <w:divsChild>
                <w:div w:id="3320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09850">
      <w:bodyDiv w:val="1"/>
      <w:marLeft w:val="0"/>
      <w:marRight w:val="0"/>
      <w:marTop w:val="0"/>
      <w:marBottom w:val="0"/>
      <w:divBdr>
        <w:top w:val="none" w:sz="0" w:space="0" w:color="auto"/>
        <w:left w:val="none" w:sz="0" w:space="0" w:color="auto"/>
        <w:bottom w:val="none" w:sz="0" w:space="0" w:color="auto"/>
        <w:right w:val="none" w:sz="0" w:space="0" w:color="auto"/>
      </w:divBdr>
      <w:divsChild>
        <w:div w:id="867523387">
          <w:marLeft w:val="0"/>
          <w:marRight w:val="0"/>
          <w:marTop w:val="0"/>
          <w:marBottom w:val="0"/>
          <w:divBdr>
            <w:top w:val="none" w:sz="0" w:space="0" w:color="auto"/>
            <w:left w:val="none" w:sz="0" w:space="0" w:color="auto"/>
            <w:bottom w:val="none" w:sz="0" w:space="0" w:color="auto"/>
            <w:right w:val="none" w:sz="0" w:space="0" w:color="auto"/>
          </w:divBdr>
          <w:divsChild>
            <w:div w:id="1849828502">
              <w:marLeft w:val="0"/>
              <w:marRight w:val="0"/>
              <w:marTop w:val="0"/>
              <w:marBottom w:val="0"/>
              <w:divBdr>
                <w:top w:val="none" w:sz="0" w:space="0" w:color="auto"/>
                <w:left w:val="none" w:sz="0" w:space="0" w:color="auto"/>
                <w:bottom w:val="none" w:sz="0" w:space="0" w:color="auto"/>
                <w:right w:val="none" w:sz="0" w:space="0" w:color="auto"/>
              </w:divBdr>
              <w:divsChild>
                <w:div w:id="948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23837">
      <w:bodyDiv w:val="1"/>
      <w:marLeft w:val="0"/>
      <w:marRight w:val="0"/>
      <w:marTop w:val="0"/>
      <w:marBottom w:val="0"/>
      <w:divBdr>
        <w:top w:val="none" w:sz="0" w:space="0" w:color="auto"/>
        <w:left w:val="none" w:sz="0" w:space="0" w:color="auto"/>
        <w:bottom w:val="none" w:sz="0" w:space="0" w:color="auto"/>
        <w:right w:val="none" w:sz="0" w:space="0" w:color="auto"/>
      </w:divBdr>
    </w:div>
    <w:div w:id="356195460">
      <w:bodyDiv w:val="1"/>
      <w:marLeft w:val="0"/>
      <w:marRight w:val="0"/>
      <w:marTop w:val="0"/>
      <w:marBottom w:val="0"/>
      <w:divBdr>
        <w:top w:val="none" w:sz="0" w:space="0" w:color="auto"/>
        <w:left w:val="none" w:sz="0" w:space="0" w:color="auto"/>
        <w:bottom w:val="none" w:sz="0" w:space="0" w:color="auto"/>
        <w:right w:val="none" w:sz="0" w:space="0" w:color="auto"/>
      </w:divBdr>
    </w:div>
    <w:div w:id="397364241">
      <w:bodyDiv w:val="1"/>
      <w:marLeft w:val="0"/>
      <w:marRight w:val="0"/>
      <w:marTop w:val="0"/>
      <w:marBottom w:val="0"/>
      <w:divBdr>
        <w:top w:val="none" w:sz="0" w:space="0" w:color="auto"/>
        <w:left w:val="none" w:sz="0" w:space="0" w:color="auto"/>
        <w:bottom w:val="none" w:sz="0" w:space="0" w:color="auto"/>
        <w:right w:val="none" w:sz="0" w:space="0" w:color="auto"/>
      </w:divBdr>
    </w:div>
    <w:div w:id="433477415">
      <w:bodyDiv w:val="1"/>
      <w:marLeft w:val="0"/>
      <w:marRight w:val="0"/>
      <w:marTop w:val="0"/>
      <w:marBottom w:val="0"/>
      <w:divBdr>
        <w:top w:val="none" w:sz="0" w:space="0" w:color="auto"/>
        <w:left w:val="none" w:sz="0" w:space="0" w:color="auto"/>
        <w:bottom w:val="none" w:sz="0" w:space="0" w:color="auto"/>
        <w:right w:val="none" w:sz="0" w:space="0" w:color="auto"/>
      </w:divBdr>
    </w:div>
    <w:div w:id="433865550">
      <w:bodyDiv w:val="1"/>
      <w:marLeft w:val="0"/>
      <w:marRight w:val="0"/>
      <w:marTop w:val="0"/>
      <w:marBottom w:val="0"/>
      <w:divBdr>
        <w:top w:val="none" w:sz="0" w:space="0" w:color="auto"/>
        <w:left w:val="none" w:sz="0" w:space="0" w:color="auto"/>
        <w:bottom w:val="none" w:sz="0" w:space="0" w:color="auto"/>
        <w:right w:val="none" w:sz="0" w:space="0" w:color="auto"/>
      </w:divBdr>
    </w:div>
    <w:div w:id="530412445">
      <w:bodyDiv w:val="1"/>
      <w:marLeft w:val="0"/>
      <w:marRight w:val="0"/>
      <w:marTop w:val="0"/>
      <w:marBottom w:val="0"/>
      <w:divBdr>
        <w:top w:val="none" w:sz="0" w:space="0" w:color="auto"/>
        <w:left w:val="none" w:sz="0" w:space="0" w:color="auto"/>
        <w:bottom w:val="none" w:sz="0" w:space="0" w:color="auto"/>
        <w:right w:val="none" w:sz="0" w:space="0" w:color="auto"/>
      </w:divBdr>
    </w:div>
    <w:div w:id="566569336">
      <w:bodyDiv w:val="1"/>
      <w:marLeft w:val="0"/>
      <w:marRight w:val="0"/>
      <w:marTop w:val="0"/>
      <w:marBottom w:val="0"/>
      <w:divBdr>
        <w:top w:val="none" w:sz="0" w:space="0" w:color="auto"/>
        <w:left w:val="none" w:sz="0" w:space="0" w:color="auto"/>
        <w:bottom w:val="none" w:sz="0" w:space="0" w:color="auto"/>
        <w:right w:val="none" w:sz="0" w:space="0" w:color="auto"/>
      </w:divBdr>
    </w:div>
    <w:div w:id="595212064">
      <w:bodyDiv w:val="1"/>
      <w:marLeft w:val="0"/>
      <w:marRight w:val="0"/>
      <w:marTop w:val="0"/>
      <w:marBottom w:val="0"/>
      <w:divBdr>
        <w:top w:val="none" w:sz="0" w:space="0" w:color="auto"/>
        <w:left w:val="none" w:sz="0" w:space="0" w:color="auto"/>
        <w:bottom w:val="none" w:sz="0" w:space="0" w:color="auto"/>
        <w:right w:val="none" w:sz="0" w:space="0" w:color="auto"/>
      </w:divBdr>
      <w:divsChild>
        <w:div w:id="1584489116">
          <w:marLeft w:val="0"/>
          <w:marRight w:val="0"/>
          <w:marTop w:val="0"/>
          <w:marBottom w:val="0"/>
          <w:divBdr>
            <w:top w:val="none" w:sz="0" w:space="0" w:color="auto"/>
            <w:left w:val="none" w:sz="0" w:space="0" w:color="auto"/>
            <w:bottom w:val="none" w:sz="0" w:space="0" w:color="auto"/>
            <w:right w:val="none" w:sz="0" w:space="0" w:color="auto"/>
          </w:divBdr>
          <w:divsChild>
            <w:div w:id="955916086">
              <w:marLeft w:val="0"/>
              <w:marRight w:val="0"/>
              <w:marTop w:val="0"/>
              <w:marBottom w:val="0"/>
              <w:divBdr>
                <w:top w:val="none" w:sz="0" w:space="0" w:color="auto"/>
                <w:left w:val="none" w:sz="0" w:space="0" w:color="auto"/>
                <w:bottom w:val="none" w:sz="0" w:space="0" w:color="auto"/>
                <w:right w:val="none" w:sz="0" w:space="0" w:color="auto"/>
              </w:divBdr>
              <w:divsChild>
                <w:div w:id="1573851882">
                  <w:marLeft w:val="0"/>
                  <w:marRight w:val="0"/>
                  <w:marTop w:val="0"/>
                  <w:marBottom w:val="0"/>
                  <w:divBdr>
                    <w:top w:val="none" w:sz="0" w:space="0" w:color="auto"/>
                    <w:left w:val="none" w:sz="0" w:space="0" w:color="auto"/>
                    <w:bottom w:val="none" w:sz="0" w:space="0" w:color="auto"/>
                    <w:right w:val="none" w:sz="0" w:space="0" w:color="auto"/>
                  </w:divBdr>
                  <w:divsChild>
                    <w:div w:id="4054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08004">
      <w:bodyDiv w:val="1"/>
      <w:marLeft w:val="0"/>
      <w:marRight w:val="0"/>
      <w:marTop w:val="0"/>
      <w:marBottom w:val="0"/>
      <w:divBdr>
        <w:top w:val="none" w:sz="0" w:space="0" w:color="auto"/>
        <w:left w:val="none" w:sz="0" w:space="0" w:color="auto"/>
        <w:bottom w:val="none" w:sz="0" w:space="0" w:color="auto"/>
        <w:right w:val="none" w:sz="0" w:space="0" w:color="auto"/>
      </w:divBdr>
    </w:div>
    <w:div w:id="665790044">
      <w:bodyDiv w:val="1"/>
      <w:marLeft w:val="0"/>
      <w:marRight w:val="0"/>
      <w:marTop w:val="0"/>
      <w:marBottom w:val="0"/>
      <w:divBdr>
        <w:top w:val="none" w:sz="0" w:space="0" w:color="auto"/>
        <w:left w:val="none" w:sz="0" w:space="0" w:color="auto"/>
        <w:bottom w:val="none" w:sz="0" w:space="0" w:color="auto"/>
        <w:right w:val="none" w:sz="0" w:space="0" w:color="auto"/>
      </w:divBdr>
    </w:div>
    <w:div w:id="674308528">
      <w:bodyDiv w:val="1"/>
      <w:marLeft w:val="0"/>
      <w:marRight w:val="0"/>
      <w:marTop w:val="0"/>
      <w:marBottom w:val="0"/>
      <w:divBdr>
        <w:top w:val="none" w:sz="0" w:space="0" w:color="auto"/>
        <w:left w:val="none" w:sz="0" w:space="0" w:color="auto"/>
        <w:bottom w:val="none" w:sz="0" w:space="0" w:color="auto"/>
        <w:right w:val="none" w:sz="0" w:space="0" w:color="auto"/>
      </w:divBdr>
    </w:div>
    <w:div w:id="694233804">
      <w:bodyDiv w:val="1"/>
      <w:marLeft w:val="0"/>
      <w:marRight w:val="0"/>
      <w:marTop w:val="0"/>
      <w:marBottom w:val="0"/>
      <w:divBdr>
        <w:top w:val="none" w:sz="0" w:space="0" w:color="auto"/>
        <w:left w:val="none" w:sz="0" w:space="0" w:color="auto"/>
        <w:bottom w:val="none" w:sz="0" w:space="0" w:color="auto"/>
        <w:right w:val="none" w:sz="0" w:space="0" w:color="auto"/>
      </w:divBdr>
    </w:div>
    <w:div w:id="695885648">
      <w:bodyDiv w:val="1"/>
      <w:marLeft w:val="0"/>
      <w:marRight w:val="0"/>
      <w:marTop w:val="0"/>
      <w:marBottom w:val="0"/>
      <w:divBdr>
        <w:top w:val="none" w:sz="0" w:space="0" w:color="auto"/>
        <w:left w:val="none" w:sz="0" w:space="0" w:color="auto"/>
        <w:bottom w:val="none" w:sz="0" w:space="0" w:color="auto"/>
        <w:right w:val="none" w:sz="0" w:space="0" w:color="auto"/>
      </w:divBdr>
    </w:div>
    <w:div w:id="712269489">
      <w:bodyDiv w:val="1"/>
      <w:marLeft w:val="0"/>
      <w:marRight w:val="0"/>
      <w:marTop w:val="0"/>
      <w:marBottom w:val="0"/>
      <w:divBdr>
        <w:top w:val="none" w:sz="0" w:space="0" w:color="auto"/>
        <w:left w:val="none" w:sz="0" w:space="0" w:color="auto"/>
        <w:bottom w:val="none" w:sz="0" w:space="0" w:color="auto"/>
        <w:right w:val="none" w:sz="0" w:space="0" w:color="auto"/>
      </w:divBdr>
    </w:div>
    <w:div w:id="745297808">
      <w:bodyDiv w:val="1"/>
      <w:marLeft w:val="0"/>
      <w:marRight w:val="0"/>
      <w:marTop w:val="0"/>
      <w:marBottom w:val="0"/>
      <w:divBdr>
        <w:top w:val="none" w:sz="0" w:space="0" w:color="auto"/>
        <w:left w:val="none" w:sz="0" w:space="0" w:color="auto"/>
        <w:bottom w:val="none" w:sz="0" w:space="0" w:color="auto"/>
        <w:right w:val="none" w:sz="0" w:space="0" w:color="auto"/>
      </w:divBdr>
    </w:div>
    <w:div w:id="766656994">
      <w:bodyDiv w:val="1"/>
      <w:marLeft w:val="0"/>
      <w:marRight w:val="0"/>
      <w:marTop w:val="0"/>
      <w:marBottom w:val="0"/>
      <w:divBdr>
        <w:top w:val="none" w:sz="0" w:space="0" w:color="auto"/>
        <w:left w:val="none" w:sz="0" w:space="0" w:color="auto"/>
        <w:bottom w:val="none" w:sz="0" w:space="0" w:color="auto"/>
        <w:right w:val="none" w:sz="0" w:space="0" w:color="auto"/>
      </w:divBdr>
    </w:div>
    <w:div w:id="806363066">
      <w:bodyDiv w:val="1"/>
      <w:marLeft w:val="0"/>
      <w:marRight w:val="0"/>
      <w:marTop w:val="0"/>
      <w:marBottom w:val="0"/>
      <w:divBdr>
        <w:top w:val="none" w:sz="0" w:space="0" w:color="auto"/>
        <w:left w:val="none" w:sz="0" w:space="0" w:color="auto"/>
        <w:bottom w:val="none" w:sz="0" w:space="0" w:color="auto"/>
        <w:right w:val="none" w:sz="0" w:space="0" w:color="auto"/>
      </w:divBdr>
    </w:div>
    <w:div w:id="816995452">
      <w:bodyDiv w:val="1"/>
      <w:marLeft w:val="0"/>
      <w:marRight w:val="0"/>
      <w:marTop w:val="0"/>
      <w:marBottom w:val="0"/>
      <w:divBdr>
        <w:top w:val="none" w:sz="0" w:space="0" w:color="auto"/>
        <w:left w:val="none" w:sz="0" w:space="0" w:color="auto"/>
        <w:bottom w:val="none" w:sz="0" w:space="0" w:color="auto"/>
        <w:right w:val="none" w:sz="0" w:space="0" w:color="auto"/>
      </w:divBdr>
    </w:div>
    <w:div w:id="962342123">
      <w:bodyDiv w:val="1"/>
      <w:marLeft w:val="0"/>
      <w:marRight w:val="0"/>
      <w:marTop w:val="0"/>
      <w:marBottom w:val="0"/>
      <w:divBdr>
        <w:top w:val="none" w:sz="0" w:space="0" w:color="auto"/>
        <w:left w:val="none" w:sz="0" w:space="0" w:color="auto"/>
        <w:bottom w:val="none" w:sz="0" w:space="0" w:color="auto"/>
        <w:right w:val="none" w:sz="0" w:space="0" w:color="auto"/>
      </w:divBdr>
    </w:div>
    <w:div w:id="963577016">
      <w:bodyDiv w:val="1"/>
      <w:marLeft w:val="0"/>
      <w:marRight w:val="0"/>
      <w:marTop w:val="0"/>
      <w:marBottom w:val="0"/>
      <w:divBdr>
        <w:top w:val="none" w:sz="0" w:space="0" w:color="auto"/>
        <w:left w:val="none" w:sz="0" w:space="0" w:color="auto"/>
        <w:bottom w:val="none" w:sz="0" w:space="0" w:color="auto"/>
        <w:right w:val="none" w:sz="0" w:space="0" w:color="auto"/>
      </w:divBdr>
    </w:div>
    <w:div w:id="988168935">
      <w:bodyDiv w:val="1"/>
      <w:marLeft w:val="0"/>
      <w:marRight w:val="0"/>
      <w:marTop w:val="0"/>
      <w:marBottom w:val="0"/>
      <w:divBdr>
        <w:top w:val="none" w:sz="0" w:space="0" w:color="auto"/>
        <w:left w:val="none" w:sz="0" w:space="0" w:color="auto"/>
        <w:bottom w:val="none" w:sz="0" w:space="0" w:color="auto"/>
        <w:right w:val="none" w:sz="0" w:space="0" w:color="auto"/>
      </w:divBdr>
      <w:divsChild>
        <w:div w:id="170727063">
          <w:marLeft w:val="0"/>
          <w:marRight w:val="0"/>
          <w:marTop w:val="0"/>
          <w:marBottom w:val="0"/>
          <w:divBdr>
            <w:top w:val="none" w:sz="0" w:space="0" w:color="auto"/>
            <w:left w:val="none" w:sz="0" w:space="0" w:color="auto"/>
            <w:bottom w:val="none" w:sz="0" w:space="0" w:color="auto"/>
            <w:right w:val="none" w:sz="0" w:space="0" w:color="auto"/>
          </w:divBdr>
          <w:divsChild>
            <w:div w:id="688215300">
              <w:marLeft w:val="0"/>
              <w:marRight w:val="0"/>
              <w:marTop w:val="0"/>
              <w:marBottom w:val="0"/>
              <w:divBdr>
                <w:top w:val="none" w:sz="0" w:space="0" w:color="auto"/>
                <w:left w:val="none" w:sz="0" w:space="0" w:color="auto"/>
                <w:bottom w:val="none" w:sz="0" w:space="0" w:color="auto"/>
                <w:right w:val="none" w:sz="0" w:space="0" w:color="auto"/>
              </w:divBdr>
              <w:divsChild>
                <w:div w:id="19434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13399">
      <w:bodyDiv w:val="1"/>
      <w:marLeft w:val="0"/>
      <w:marRight w:val="0"/>
      <w:marTop w:val="0"/>
      <w:marBottom w:val="0"/>
      <w:divBdr>
        <w:top w:val="none" w:sz="0" w:space="0" w:color="auto"/>
        <w:left w:val="none" w:sz="0" w:space="0" w:color="auto"/>
        <w:bottom w:val="none" w:sz="0" w:space="0" w:color="auto"/>
        <w:right w:val="none" w:sz="0" w:space="0" w:color="auto"/>
      </w:divBdr>
    </w:div>
    <w:div w:id="1038042240">
      <w:bodyDiv w:val="1"/>
      <w:marLeft w:val="0"/>
      <w:marRight w:val="0"/>
      <w:marTop w:val="0"/>
      <w:marBottom w:val="0"/>
      <w:divBdr>
        <w:top w:val="none" w:sz="0" w:space="0" w:color="auto"/>
        <w:left w:val="none" w:sz="0" w:space="0" w:color="auto"/>
        <w:bottom w:val="none" w:sz="0" w:space="0" w:color="auto"/>
        <w:right w:val="none" w:sz="0" w:space="0" w:color="auto"/>
      </w:divBdr>
    </w:div>
    <w:div w:id="1124034947">
      <w:bodyDiv w:val="1"/>
      <w:marLeft w:val="0"/>
      <w:marRight w:val="0"/>
      <w:marTop w:val="0"/>
      <w:marBottom w:val="0"/>
      <w:divBdr>
        <w:top w:val="none" w:sz="0" w:space="0" w:color="auto"/>
        <w:left w:val="none" w:sz="0" w:space="0" w:color="auto"/>
        <w:bottom w:val="none" w:sz="0" w:space="0" w:color="auto"/>
        <w:right w:val="none" w:sz="0" w:space="0" w:color="auto"/>
      </w:divBdr>
    </w:div>
    <w:div w:id="1201285447">
      <w:bodyDiv w:val="1"/>
      <w:marLeft w:val="0"/>
      <w:marRight w:val="0"/>
      <w:marTop w:val="0"/>
      <w:marBottom w:val="0"/>
      <w:divBdr>
        <w:top w:val="none" w:sz="0" w:space="0" w:color="auto"/>
        <w:left w:val="none" w:sz="0" w:space="0" w:color="auto"/>
        <w:bottom w:val="none" w:sz="0" w:space="0" w:color="auto"/>
        <w:right w:val="none" w:sz="0" w:space="0" w:color="auto"/>
      </w:divBdr>
    </w:div>
    <w:div w:id="1233077178">
      <w:bodyDiv w:val="1"/>
      <w:marLeft w:val="0"/>
      <w:marRight w:val="0"/>
      <w:marTop w:val="0"/>
      <w:marBottom w:val="0"/>
      <w:divBdr>
        <w:top w:val="none" w:sz="0" w:space="0" w:color="auto"/>
        <w:left w:val="none" w:sz="0" w:space="0" w:color="auto"/>
        <w:bottom w:val="none" w:sz="0" w:space="0" w:color="auto"/>
        <w:right w:val="none" w:sz="0" w:space="0" w:color="auto"/>
      </w:divBdr>
    </w:div>
    <w:div w:id="1238128338">
      <w:bodyDiv w:val="1"/>
      <w:marLeft w:val="0"/>
      <w:marRight w:val="0"/>
      <w:marTop w:val="0"/>
      <w:marBottom w:val="0"/>
      <w:divBdr>
        <w:top w:val="none" w:sz="0" w:space="0" w:color="auto"/>
        <w:left w:val="none" w:sz="0" w:space="0" w:color="auto"/>
        <w:bottom w:val="none" w:sz="0" w:space="0" w:color="auto"/>
        <w:right w:val="none" w:sz="0" w:space="0" w:color="auto"/>
      </w:divBdr>
    </w:div>
    <w:div w:id="1245719800">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299460342">
      <w:bodyDiv w:val="1"/>
      <w:marLeft w:val="0"/>
      <w:marRight w:val="0"/>
      <w:marTop w:val="0"/>
      <w:marBottom w:val="0"/>
      <w:divBdr>
        <w:top w:val="none" w:sz="0" w:space="0" w:color="auto"/>
        <w:left w:val="none" w:sz="0" w:space="0" w:color="auto"/>
        <w:bottom w:val="none" w:sz="0" w:space="0" w:color="auto"/>
        <w:right w:val="none" w:sz="0" w:space="0" w:color="auto"/>
      </w:divBdr>
    </w:div>
    <w:div w:id="1308437267">
      <w:bodyDiv w:val="1"/>
      <w:marLeft w:val="0"/>
      <w:marRight w:val="0"/>
      <w:marTop w:val="0"/>
      <w:marBottom w:val="0"/>
      <w:divBdr>
        <w:top w:val="none" w:sz="0" w:space="0" w:color="auto"/>
        <w:left w:val="none" w:sz="0" w:space="0" w:color="auto"/>
        <w:bottom w:val="none" w:sz="0" w:space="0" w:color="auto"/>
        <w:right w:val="none" w:sz="0" w:space="0" w:color="auto"/>
      </w:divBdr>
    </w:div>
    <w:div w:id="1384982099">
      <w:bodyDiv w:val="1"/>
      <w:marLeft w:val="0"/>
      <w:marRight w:val="0"/>
      <w:marTop w:val="0"/>
      <w:marBottom w:val="0"/>
      <w:divBdr>
        <w:top w:val="none" w:sz="0" w:space="0" w:color="auto"/>
        <w:left w:val="none" w:sz="0" w:space="0" w:color="auto"/>
        <w:bottom w:val="none" w:sz="0" w:space="0" w:color="auto"/>
        <w:right w:val="none" w:sz="0" w:space="0" w:color="auto"/>
      </w:divBdr>
    </w:div>
    <w:div w:id="1390957271">
      <w:bodyDiv w:val="1"/>
      <w:marLeft w:val="0"/>
      <w:marRight w:val="0"/>
      <w:marTop w:val="0"/>
      <w:marBottom w:val="0"/>
      <w:divBdr>
        <w:top w:val="none" w:sz="0" w:space="0" w:color="auto"/>
        <w:left w:val="none" w:sz="0" w:space="0" w:color="auto"/>
        <w:bottom w:val="none" w:sz="0" w:space="0" w:color="auto"/>
        <w:right w:val="none" w:sz="0" w:space="0" w:color="auto"/>
      </w:divBdr>
    </w:div>
    <w:div w:id="1437166300">
      <w:bodyDiv w:val="1"/>
      <w:marLeft w:val="0"/>
      <w:marRight w:val="0"/>
      <w:marTop w:val="0"/>
      <w:marBottom w:val="0"/>
      <w:divBdr>
        <w:top w:val="none" w:sz="0" w:space="0" w:color="auto"/>
        <w:left w:val="none" w:sz="0" w:space="0" w:color="auto"/>
        <w:bottom w:val="none" w:sz="0" w:space="0" w:color="auto"/>
        <w:right w:val="none" w:sz="0" w:space="0" w:color="auto"/>
      </w:divBdr>
    </w:div>
    <w:div w:id="1443763734">
      <w:bodyDiv w:val="1"/>
      <w:marLeft w:val="0"/>
      <w:marRight w:val="0"/>
      <w:marTop w:val="0"/>
      <w:marBottom w:val="0"/>
      <w:divBdr>
        <w:top w:val="none" w:sz="0" w:space="0" w:color="auto"/>
        <w:left w:val="none" w:sz="0" w:space="0" w:color="auto"/>
        <w:bottom w:val="none" w:sz="0" w:space="0" w:color="auto"/>
        <w:right w:val="none" w:sz="0" w:space="0" w:color="auto"/>
      </w:divBdr>
    </w:div>
    <w:div w:id="1479224410">
      <w:bodyDiv w:val="1"/>
      <w:marLeft w:val="0"/>
      <w:marRight w:val="0"/>
      <w:marTop w:val="0"/>
      <w:marBottom w:val="0"/>
      <w:divBdr>
        <w:top w:val="none" w:sz="0" w:space="0" w:color="auto"/>
        <w:left w:val="none" w:sz="0" w:space="0" w:color="auto"/>
        <w:bottom w:val="none" w:sz="0" w:space="0" w:color="auto"/>
        <w:right w:val="none" w:sz="0" w:space="0" w:color="auto"/>
      </w:divBdr>
    </w:div>
    <w:div w:id="1536045899">
      <w:bodyDiv w:val="1"/>
      <w:marLeft w:val="0"/>
      <w:marRight w:val="0"/>
      <w:marTop w:val="0"/>
      <w:marBottom w:val="0"/>
      <w:divBdr>
        <w:top w:val="none" w:sz="0" w:space="0" w:color="auto"/>
        <w:left w:val="none" w:sz="0" w:space="0" w:color="auto"/>
        <w:bottom w:val="none" w:sz="0" w:space="0" w:color="auto"/>
        <w:right w:val="none" w:sz="0" w:space="0" w:color="auto"/>
      </w:divBdr>
    </w:div>
    <w:div w:id="1543833528">
      <w:bodyDiv w:val="1"/>
      <w:marLeft w:val="0"/>
      <w:marRight w:val="0"/>
      <w:marTop w:val="0"/>
      <w:marBottom w:val="0"/>
      <w:divBdr>
        <w:top w:val="none" w:sz="0" w:space="0" w:color="auto"/>
        <w:left w:val="none" w:sz="0" w:space="0" w:color="auto"/>
        <w:bottom w:val="none" w:sz="0" w:space="0" w:color="auto"/>
        <w:right w:val="none" w:sz="0" w:space="0" w:color="auto"/>
      </w:divBdr>
    </w:div>
    <w:div w:id="1569724273">
      <w:bodyDiv w:val="1"/>
      <w:marLeft w:val="0"/>
      <w:marRight w:val="0"/>
      <w:marTop w:val="0"/>
      <w:marBottom w:val="0"/>
      <w:divBdr>
        <w:top w:val="none" w:sz="0" w:space="0" w:color="auto"/>
        <w:left w:val="none" w:sz="0" w:space="0" w:color="auto"/>
        <w:bottom w:val="none" w:sz="0" w:space="0" w:color="auto"/>
        <w:right w:val="none" w:sz="0" w:space="0" w:color="auto"/>
      </w:divBdr>
    </w:div>
    <w:div w:id="1594128050">
      <w:bodyDiv w:val="1"/>
      <w:marLeft w:val="0"/>
      <w:marRight w:val="0"/>
      <w:marTop w:val="0"/>
      <w:marBottom w:val="0"/>
      <w:divBdr>
        <w:top w:val="none" w:sz="0" w:space="0" w:color="auto"/>
        <w:left w:val="none" w:sz="0" w:space="0" w:color="auto"/>
        <w:bottom w:val="none" w:sz="0" w:space="0" w:color="auto"/>
        <w:right w:val="none" w:sz="0" w:space="0" w:color="auto"/>
      </w:divBdr>
    </w:div>
    <w:div w:id="1597127116">
      <w:bodyDiv w:val="1"/>
      <w:marLeft w:val="0"/>
      <w:marRight w:val="0"/>
      <w:marTop w:val="0"/>
      <w:marBottom w:val="0"/>
      <w:divBdr>
        <w:top w:val="none" w:sz="0" w:space="0" w:color="auto"/>
        <w:left w:val="none" w:sz="0" w:space="0" w:color="auto"/>
        <w:bottom w:val="none" w:sz="0" w:space="0" w:color="auto"/>
        <w:right w:val="none" w:sz="0" w:space="0" w:color="auto"/>
      </w:divBdr>
    </w:div>
    <w:div w:id="1608734271">
      <w:bodyDiv w:val="1"/>
      <w:marLeft w:val="0"/>
      <w:marRight w:val="0"/>
      <w:marTop w:val="0"/>
      <w:marBottom w:val="0"/>
      <w:divBdr>
        <w:top w:val="none" w:sz="0" w:space="0" w:color="auto"/>
        <w:left w:val="none" w:sz="0" w:space="0" w:color="auto"/>
        <w:bottom w:val="none" w:sz="0" w:space="0" w:color="auto"/>
        <w:right w:val="none" w:sz="0" w:space="0" w:color="auto"/>
      </w:divBdr>
    </w:div>
    <w:div w:id="1682855773">
      <w:bodyDiv w:val="1"/>
      <w:marLeft w:val="0"/>
      <w:marRight w:val="0"/>
      <w:marTop w:val="0"/>
      <w:marBottom w:val="0"/>
      <w:divBdr>
        <w:top w:val="none" w:sz="0" w:space="0" w:color="auto"/>
        <w:left w:val="none" w:sz="0" w:space="0" w:color="auto"/>
        <w:bottom w:val="none" w:sz="0" w:space="0" w:color="auto"/>
        <w:right w:val="none" w:sz="0" w:space="0" w:color="auto"/>
      </w:divBdr>
    </w:div>
    <w:div w:id="1719932113">
      <w:bodyDiv w:val="1"/>
      <w:marLeft w:val="0"/>
      <w:marRight w:val="0"/>
      <w:marTop w:val="0"/>
      <w:marBottom w:val="0"/>
      <w:divBdr>
        <w:top w:val="none" w:sz="0" w:space="0" w:color="auto"/>
        <w:left w:val="none" w:sz="0" w:space="0" w:color="auto"/>
        <w:bottom w:val="none" w:sz="0" w:space="0" w:color="auto"/>
        <w:right w:val="none" w:sz="0" w:space="0" w:color="auto"/>
      </w:divBdr>
    </w:div>
    <w:div w:id="1739327760">
      <w:bodyDiv w:val="1"/>
      <w:marLeft w:val="0"/>
      <w:marRight w:val="0"/>
      <w:marTop w:val="0"/>
      <w:marBottom w:val="0"/>
      <w:divBdr>
        <w:top w:val="none" w:sz="0" w:space="0" w:color="auto"/>
        <w:left w:val="none" w:sz="0" w:space="0" w:color="auto"/>
        <w:bottom w:val="none" w:sz="0" w:space="0" w:color="auto"/>
        <w:right w:val="none" w:sz="0" w:space="0" w:color="auto"/>
      </w:divBdr>
    </w:div>
    <w:div w:id="1771965741">
      <w:bodyDiv w:val="1"/>
      <w:marLeft w:val="0"/>
      <w:marRight w:val="0"/>
      <w:marTop w:val="0"/>
      <w:marBottom w:val="0"/>
      <w:divBdr>
        <w:top w:val="none" w:sz="0" w:space="0" w:color="auto"/>
        <w:left w:val="none" w:sz="0" w:space="0" w:color="auto"/>
        <w:bottom w:val="none" w:sz="0" w:space="0" w:color="auto"/>
        <w:right w:val="none" w:sz="0" w:space="0" w:color="auto"/>
      </w:divBdr>
      <w:divsChild>
        <w:div w:id="236987604">
          <w:marLeft w:val="0"/>
          <w:marRight w:val="0"/>
          <w:marTop w:val="0"/>
          <w:marBottom w:val="0"/>
          <w:divBdr>
            <w:top w:val="none" w:sz="0" w:space="0" w:color="auto"/>
            <w:left w:val="none" w:sz="0" w:space="0" w:color="auto"/>
            <w:bottom w:val="none" w:sz="0" w:space="0" w:color="auto"/>
            <w:right w:val="none" w:sz="0" w:space="0" w:color="auto"/>
          </w:divBdr>
          <w:divsChild>
            <w:div w:id="476731365">
              <w:marLeft w:val="0"/>
              <w:marRight w:val="0"/>
              <w:marTop w:val="0"/>
              <w:marBottom w:val="0"/>
              <w:divBdr>
                <w:top w:val="none" w:sz="0" w:space="0" w:color="auto"/>
                <w:left w:val="none" w:sz="0" w:space="0" w:color="auto"/>
                <w:bottom w:val="none" w:sz="0" w:space="0" w:color="auto"/>
                <w:right w:val="none" w:sz="0" w:space="0" w:color="auto"/>
              </w:divBdr>
              <w:divsChild>
                <w:div w:id="10748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9389">
      <w:bodyDiv w:val="1"/>
      <w:marLeft w:val="0"/>
      <w:marRight w:val="0"/>
      <w:marTop w:val="0"/>
      <w:marBottom w:val="0"/>
      <w:divBdr>
        <w:top w:val="none" w:sz="0" w:space="0" w:color="auto"/>
        <w:left w:val="none" w:sz="0" w:space="0" w:color="auto"/>
        <w:bottom w:val="none" w:sz="0" w:space="0" w:color="auto"/>
        <w:right w:val="none" w:sz="0" w:space="0" w:color="auto"/>
      </w:divBdr>
    </w:div>
    <w:div w:id="1789816142">
      <w:bodyDiv w:val="1"/>
      <w:marLeft w:val="0"/>
      <w:marRight w:val="0"/>
      <w:marTop w:val="0"/>
      <w:marBottom w:val="0"/>
      <w:divBdr>
        <w:top w:val="none" w:sz="0" w:space="0" w:color="auto"/>
        <w:left w:val="none" w:sz="0" w:space="0" w:color="auto"/>
        <w:bottom w:val="none" w:sz="0" w:space="0" w:color="auto"/>
        <w:right w:val="none" w:sz="0" w:space="0" w:color="auto"/>
      </w:divBdr>
    </w:div>
    <w:div w:id="1807428147">
      <w:bodyDiv w:val="1"/>
      <w:marLeft w:val="0"/>
      <w:marRight w:val="0"/>
      <w:marTop w:val="0"/>
      <w:marBottom w:val="0"/>
      <w:divBdr>
        <w:top w:val="none" w:sz="0" w:space="0" w:color="auto"/>
        <w:left w:val="none" w:sz="0" w:space="0" w:color="auto"/>
        <w:bottom w:val="none" w:sz="0" w:space="0" w:color="auto"/>
        <w:right w:val="none" w:sz="0" w:space="0" w:color="auto"/>
      </w:divBdr>
    </w:div>
    <w:div w:id="1872567672">
      <w:bodyDiv w:val="1"/>
      <w:marLeft w:val="0"/>
      <w:marRight w:val="0"/>
      <w:marTop w:val="0"/>
      <w:marBottom w:val="0"/>
      <w:divBdr>
        <w:top w:val="none" w:sz="0" w:space="0" w:color="auto"/>
        <w:left w:val="none" w:sz="0" w:space="0" w:color="auto"/>
        <w:bottom w:val="none" w:sz="0" w:space="0" w:color="auto"/>
        <w:right w:val="none" w:sz="0" w:space="0" w:color="auto"/>
      </w:divBdr>
      <w:divsChild>
        <w:div w:id="786583253">
          <w:marLeft w:val="0"/>
          <w:marRight w:val="0"/>
          <w:marTop w:val="0"/>
          <w:marBottom w:val="0"/>
          <w:divBdr>
            <w:top w:val="none" w:sz="0" w:space="0" w:color="auto"/>
            <w:left w:val="none" w:sz="0" w:space="0" w:color="auto"/>
            <w:bottom w:val="none" w:sz="0" w:space="0" w:color="auto"/>
            <w:right w:val="none" w:sz="0" w:space="0" w:color="auto"/>
          </w:divBdr>
          <w:divsChild>
            <w:div w:id="1912622090">
              <w:marLeft w:val="0"/>
              <w:marRight w:val="0"/>
              <w:marTop w:val="0"/>
              <w:marBottom w:val="0"/>
              <w:divBdr>
                <w:top w:val="none" w:sz="0" w:space="0" w:color="auto"/>
                <w:left w:val="none" w:sz="0" w:space="0" w:color="auto"/>
                <w:bottom w:val="none" w:sz="0" w:space="0" w:color="auto"/>
                <w:right w:val="none" w:sz="0" w:space="0" w:color="auto"/>
              </w:divBdr>
              <w:divsChild>
                <w:div w:id="16699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56996">
      <w:bodyDiv w:val="1"/>
      <w:marLeft w:val="0"/>
      <w:marRight w:val="0"/>
      <w:marTop w:val="0"/>
      <w:marBottom w:val="0"/>
      <w:divBdr>
        <w:top w:val="none" w:sz="0" w:space="0" w:color="auto"/>
        <w:left w:val="none" w:sz="0" w:space="0" w:color="auto"/>
        <w:bottom w:val="none" w:sz="0" w:space="0" w:color="auto"/>
        <w:right w:val="none" w:sz="0" w:space="0" w:color="auto"/>
      </w:divBdr>
      <w:divsChild>
        <w:div w:id="39863704">
          <w:marLeft w:val="0"/>
          <w:marRight w:val="0"/>
          <w:marTop w:val="0"/>
          <w:marBottom w:val="0"/>
          <w:divBdr>
            <w:top w:val="none" w:sz="0" w:space="0" w:color="auto"/>
            <w:left w:val="none" w:sz="0" w:space="0" w:color="auto"/>
            <w:bottom w:val="none" w:sz="0" w:space="0" w:color="auto"/>
            <w:right w:val="none" w:sz="0" w:space="0" w:color="auto"/>
          </w:divBdr>
          <w:divsChild>
            <w:div w:id="1751845935">
              <w:marLeft w:val="0"/>
              <w:marRight w:val="0"/>
              <w:marTop w:val="0"/>
              <w:marBottom w:val="0"/>
              <w:divBdr>
                <w:top w:val="none" w:sz="0" w:space="0" w:color="auto"/>
                <w:left w:val="none" w:sz="0" w:space="0" w:color="auto"/>
                <w:bottom w:val="none" w:sz="0" w:space="0" w:color="auto"/>
                <w:right w:val="none" w:sz="0" w:space="0" w:color="auto"/>
              </w:divBdr>
              <w:divsChild>
                <w:div w:id="923412655">
                  <w:marLeft w:val="0"/>
                  <w:marRight w:val="0"/>
                  <w:marTop w:val="0"/>
                  <w:marBottom w:val="0"/>
                  <w:divBdr>
                    <w:top w:val="none" w:sz="0" w:space="0" w:color="auto"/>
                    <w:left w:val="none" w:sz="0" w:space="0" w:color="auto"/>
                    <w:bottom w:val="none" w:sz="0" w:space="0" w:color="auto"/>
                    <w:right w:val="none" w:sz="0" w:space="0" w:color="auto"/>
                  </w:divBdr>
                  <w:divsChild>
                    <w:div w:id="2196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6085">
      <w:bodyDiv w:val="1"/>
      <w:marLeft w:val="0"/>
      <w:marRight w:val="0"/>
      <w:marTop w:val="0"/>
      <w:marBottom w:val="0"/>
      <w:divBdr>
        <w:top w:val="none" w:sz="0" w:space="0" w:color="auto"/>
        <w:left w:val="none" w:sz="0" w:space="0" w:color="auto"/>
        <w:bottom w:val="none" w:sz="0" w:space="0" w:color="auto"/>
        <w:right w:val="none" w:sz="0" w:space="0" w:color="auto"/>
      </w:divBdr>
    </w:div>
    <w:div w:id="1894003413">
      <w:bodyDiv w:val="1"/>
      <w:marLeft w:val="0"/>
      <w:marRight w:val="0"/>
      <w:marTop w:val="0"/>
      <w:marBottom w:val="0"/>
      <w:divBdr>
        <w:top w:val="none" w:sz="0" w:space="0" w:color="auto"/>
        <w:left w:val="none" w:sz="0" w:space="0" w:color="auto"/>
        <w:bottom w:val="none" w:sz="0" w:space="0" w:color="auto"/>
        <w:right w:val="none" w:sz="0" w:space="0" w:color="auto"/>
      </w:divBdr>
    </w:div>
    <w:div w:id="1914466246">
      <w:bodyDiv w:val="1"/>
      <w:marLeft w:val="0"/>
      <w:marRight w:val="0"/>
      <w:marTop w:val="0"/>
      <w:marBottom w:val="0"/>
      <w:divBdr>
        <w:top w:val="none" w:sz="0" w:space="0" w:color="auto"/>
        <w:left w:val="none" w:sz="0" w:space="0" w:color="auto"/>
        <w:bottom w:val="none" w:sz="0" w:space="0" w:color="auto"/>
        <w:right w:val="none" w:sz="0" w:space="0" w:color="auto"/>
      </w:divBdr>
    </w:div>
    <w:div w:id="1961262048">
      <w:bodyDiv w:val="1"/>
      <w:marLeft w:val="0"/>
      <w:marRight w:val="0"/>
      <w:marTop w:val="0"/>
      <w:marBottom w:val="0"/>
      <w:divBdr>
        <w:top w:val="none" w:sz="0" w:space="0" w:color="auto"/>
        <w:left w:val="none" w:sz="0" w:space="0" w:color="auto"/>
        <w:bottom w:val="none" w:sz="0" w:space="0" w:color="auto"/>
        <w:right w:val="none" w:sz="0" w:space="0" w:color="auto"/>
      </w:divBdr>
    </w:div>
    <w:div w:id="1971325369">
      <w:bodyDiv w:val="1"/>
      <w:marLeft w:val="0"/>
      <w:marRight w:val="0"/>
      <w:marTop w:val="0"/>
      <w:marBottom w:val="0"/>
      <w:divBdr>
        <w:top w:val="none" w:sz="0" w:space="0" w:color="auto"/>
        <w:left w:val="none" w:sz="0" w:space="0" w:color="auto"/>
        <w:bottom w:val="none" w:sz="0" w:space="0" w:color="auto"/>
        <w:right w:val="none" w:sz="0" w:space="0" w:color="auto"/>
      </w:divBdr>
      <w:divsChild>
        <w:div w:id="1081442206">
          <w:marLeft w:val="0"/>
          <w:marRight w:val="0"/>
          <w:marTop w:val="0"/>
          <w:marBottom w:val="0"/>
          <w:divBdr>
            <w:top w:val="none" w:sz="0" w:space="0" w:color="auto"/>
            <w:left w:val="none" w:sz="0" w:space="0" w:color="auto"/>
            <w:bottom w:val="none" w:sz="0" w:space="0" w:color="auto"/>
            <w:right w:val="none" w:sz="0" w:space="0" w:color="auto"/>
          </w:divBdr>
          <w:divsChild>
            <w:div w:id="31391802">
              <w:marLeft w:val="0"/>
              <w:marRight w:val="0"/>
              <w:marTop w:val="0"/>
              <w:marBottom w:val="0"/>
              <w:divBdr>
                <w:top w:val="none" w:sz="0" w:space="0" w:color="auto"/>
                <w:left w:val="none" w:sz="0" w:space="0" w:color="auto"/>
                <w:bottom w:val="none" w:sz="0" w:space="0" w:color="auto"/>
                <w:right w:val="none" w:sz="0" w:space="0" w:color="auto"/>
              </w:divBdr>
              <w:divsChild>
                <w:div w:id="2709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7957">
      <w:bodyDiv w:val="1"/>
      <w:marLeft w:val="0"/>
      <w:marRight w:val="0"/>
      <w:marTop w:val="0"/>
      <w:marBottom w:val="0"/>
      <w:divBdr>
        <w:top w:val="none" w:sz="0" w:space="0" w:color="auto"/>
        <w:left w:val="none" w:sz="0" w:space="0" w:color="auto"/>
        <w:bottom w:val="none" w:sz="0" w:space="0" w:color="auto"/>
        <w:right w:val="none" w:sz="0" w:space="0" w:color="auto"/>
      </w:divBdr>
    </w:div>
    <w:div w:id="2027977238">
      <w:bodyDiv w:val="1"/>
      <w:marLeft w:val="0"/>
      <w:marRight w:val="0"/>
      <w:marTop w:val="0"/>
      <w:marBottom w:val="0"/>
      <w:divBdr>
        <w:top w:val="none" w:sz="0" w:space="0" w:color="auto"/>
        <w:left w:val="none" w:sz="0" w:space="0" w:color="auto"/>
        <w:bottom w:val="none" w:sz="0" w:space="0" w:color="auto"/>
        <w:right w:val="none" w:sz="0" w:space="0" w:color="auto"/>
      </w:divBdr>
    </w:div>
    <w:div w:id="2032796726">
      <w:bodyDiv w:val="1"/>
      <w:marLeft w:val="0"/>
      <w:marRight w:val="0"/>
      <w:marTop w:val="0"/>
      <w:marBottom w:val="0"/>
      <w:divBdr>
        <w:top w:val="none" w:sz="0" w:space="0" w:color="auto"/>
        <w:left w:val="none" w:sz="0" w:space="0" w:color="auto"/>
        <w:bottom w:val="none" w:sz="0" w:space="0" w:color="auto"/>
        <w:right w:val="none" w:sz="0" w:space="0" w:color="auto"/>
      </w:divBdr>
    </w:div>
    <w:div w:id="2052457057">
      <w:bodyDiv w:val="1"/>
      <w:marLeft w:val="0"/>
      <w:marRight w:val="0"/>
      <w:marTop w:val="0"/>
      <w:marBottom w:val="0"/>
      <w:divBdr>
        <w:top w:val="none" w:sz="0" w:space="0" w:color="auto"/>
        <w:left w:val="none" w:sz="0" w:space="0" w:color="auto"/>
        <w:bottom w:val="none" w:sz="0" w:space="0" w:color="auto"/>
        <w:right w:val="none" w:sz="0" w:space="0" w:color="auto"/>
      </w:divBdr>
    </w:div>
    <w:div w:id="2066834256">
      <w:bodyDiv w:val="1"/>
      <w:marLeft w:val="0"/>
      <w:marRight w:val="0"/>
      <w:marTop w:val="0"/>
      <w:marBottom w:val="0"/>
      <w:divBdr>
        <w:top w:val="none" w:sz="0" w:space="0" w:color="auto"/>
        <w:left w:val="none" w:sz="0" w:space="0" w:color="auto"/>
        <w:bottom w:val="none" w:sz="0" w:space="0" w:color="auto"/>
        <w:right w:val="none" w:sz="0" w:space="0" w:color="auto"/>
      </w:divBdr>
    </w:div>
    <w:div w:id="2112817165">
      <w:bodyDiv w:val="1"/>
      <w:marLeft w:val="0"/>
      <w:marRight w:val="0"/>
      <w:marTop w:val="0"/>
      <w:marBottom w:val="0"/>
      <w:divBdr>
        <w:top w:val="none" w:sz="0" w:space="0" w:color="auto"/>
        <w:left w:val="none" w:sz="0" w:space="0" w:color="auto"/>
        <w:bottom w:val="none" w:sz="0" w:space="0" w:color="auto"/>
        <w:right w:val="none" w:sz="0" w:space="0" w:color="auto"/>
      </w:divBdr>
    </w:div>
    <w:div w:id="2116634651">
      <w:bodyDiv w:val="1"/>
      <w:marLeft w:val="0"/>
      <w:marRight w:val="0"/>
      <w:marTop w:val="0"/>
      <w:marBottom w:val="0"/>
      <w:divBdr>
        <w:top w:val="none" w:sz="0" w:space="0" w:color="auto"/>
        <w:left w:val="none" w:sz="0" w:space="0" w:color="auto"/>
        <w:bottom w:val="none" w:sz="0" w:space="0" w:color="auto"/>
        <w:right w:val="none" w:sz="0" w:space="0" w:color="auto"/>
      </w:divBdr>
      <w:divsChild>
        <w:div w:id="385951883">
          <w:marLeft w:val="0"/>
          <w:marRight w:val="0"/>
          <w:marTop w:val="0"/>
          <w:marBottom w:val="0"/>
          <w:divBdr>
            <w:top w:val="none" w:sz="0" w:space="0" w:color="auto"/>
            <w:left w:val="none" w:sz="0" w:space="0" w:color="auto"/>
            <w:bottom w:val="none" w:sz="0" w:space="0" w:color="auto"/>
            <w:right w:val="none" w:sz="0" w:space="0" w:color="auto"/>
          </w:divBdr>
          <w:divsChild>
            <w:div w:id="2021929454">
              <w:marLeft w:val="0"/>
              <w:marRight w:val="0"/>
              <w:marTop w:val="0"/>
              <w:marBottom w:val="0"/>
              <w:divBdr>
                <w:top w:val="none" w:sz="0" w:space="0" w:color="auto"/>
                <w:left w:val="none" w:sz="0" w:space="0" w:color="auto"/>
                <w:bottom w:val="none" w:sz="0" w:space="0" w:color="auto"/>
                <w:right w:val="none" w:sz="0" w:space="0" w:color="auto"/>
              </w:divBdr>
              <w:divsChild>
                <w:div w:id="20585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475-4959.2010.00374.x" TargetMode="External"/><Relationship Id="rId18" Type="http://schemas.openxmlformats.org/officeDocument/2006/relationships/hyperlink" Target="https://doi.org/10.3402/ijch.v74.27284" TargetMode="External"/><Relationship Id="rId26" Type="http://schemas.openxmlformats.org/officeDocument/2006/relationships/hyperlink" Target="https://link-gale-com.subzero.lib.uoguelph.ca/apps/doc/A193313346/AONE?u=guel77241&amp;sid=AONE&amp;xid=9813f2ed" TargetMode="External"/><Relationship Id="rId21" Type="http://schemas.openxmlformats.org/officeDocument/2006/relationships/hyperlink" Target="https://doi.org/10.1016/0048-9697(92)90249-r" TargetMode="External"/><Relationship Id="rId34" Type="http://schemas.openxmlformats.org/officeDocument/2006/relationships/hyperlink" Target="https://doi.org/10.1139/as-2017-0034" TargetMode="External"/><Relationship Id="rId7" Type="http://schemas.openxmlformats.org/officeDocument/2006/relationships/hyperlink" Target="https://link-gale-com.subzero.lib.uoguelph.ca/apps/doc/A30276783/AONE?u=guel77241&amp;sid=AONE&amp;xid=fbea39b5" TargetMode="External"/><Relationship Id="rId12" Type="http://schemas.openxmlformats.org/officeDocument/2006/relationships/hyperlink" Target="https://doi.org/10.3402/ijch.v73.25091" TargetMode="External"/><Relationship Id="rId17" Type="http://schemas.openxmlformats.org/officeDocument/2006/relationships/hyperlink" Target="https://doi.org/10.1080/01459740.2019.1643854" TargetMode="External"/><Relationship Id="rId25" Type="http://schemas.openxmlformats.org/officeDocument/2006/relationships/hyperlink" Target="https://doi.org/10.1016/j.scitotenv.2019.07.272" TargetMode="External"/><Relationship Id="rId33" Type="http://schemas.openxmlformats.org/officeDocument/2006/relationships/hyperlink" Target="http://www2.dnr.cornell.edu/kassam/publications/Climate_Change_Food_and_Sharing_in_Wainwright_Alaska.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80/22423982.2017.1279451" TargetMode="External"/><Relationship Id="rId20" Type="http://schemas.openxmlformats.org/officeDocument/2006/relationships/hyperlink" Target="https://doi.org/10.1016/j.foodpol.2018.08.006" TargetMode="External"/><Relationship Id="rId29" Type="http://schemas.openxmlformats.org/officeDocument/2006/relationships/hyperlink" Target="https://doi.org/10.1186/1475-2891-12-70" TargetMode="External"/><Relationship Id="rId1" Type="http://schemas.openxmlformats.org/officeDocument/2006/relationships/numbering" Target="numbering.xml"/><Relationship Id="rId6" Type="http://schemas.openxmlformats.org/officeDocument/2006/relationships/hyperlink" Target="https://doi.org/10.1007/BF03404373" TargetMode="External"/><Relationship Id="rId11" Type="http://schemas.openxmlformats.org/officeDocument/2006/relationships/hyperlink" Target="https://doi.org/10.1007/s10393-015-1036-1" TargetMode="External"/><Relationship Id="rId24" Type="http://schemas.openxmlformats.org/officeDocument/2006/relationships/hyperlink" Target="https://doi.org/10.1080/15245004.2010.503009" TargetMode="External"/><Relationship Id="rId32" Type="http://schemas.openxmlformats.org/officeDocument/2006/relationships/hyperlink" Target="https://www12.statcan.gc.ca/census-recensement/2016/as-sa/fogs-spg/Facts-csd-eng.cfm?LANG=Eng&amp;GK=CSD&amp;GC=6101036&amp;TOPIC=11" TargetMode="External"/><Relationship Id="rId37" Type="http://schemas.openxmlformats.org/officeDocument/2006/relationships/fontTable" Target="fontTable.xml"/><Relationship Id="rId5" Type="http://schemas.openxmlformats.org/officeDocument/2006/relationships/hyperlink" Target="https://doi.org/10.1007/s10113-012-0299-0" TargetMode="External"/><Relationship Id="rId15" Type="http://schemas.openxmlformats.org/officeDocument/2006/relationships/hyperlink" Target="https://doi.org/10.17269/cjph.105.4624" TargetMode="External"/><Relationship Id="rId23" Type="http://schemas.openxmlformats.org/officeDocument/2006/relationships/hyperlink" Target="https://doi.org/10.1146/annurev.nu.16.070196.002221" TargetMode="External"/><Relationship Id="rId28" Type="http://schemas.openxmlformats.org/officeDocument/2006/relationships/hyperlink" Target="https://doi.org/10.3402/ijch.v75.31127" TargetMode="External"/><Relationship Id="rId36" Type="http://schemas.openxmlformats.org/officeDocument/2006/relationships/hyperlink" Target="https://doi.org/10.15353/cfs-rcea.v3i2.161" TargetMode="External"/><Relationship Id="rId10" Type="http://schemas.openxmlformats.org/officeDocument/2006/relationships/hyperlink" Target="https://doi.org/10.1080/15287394.2016.1174011" TargetMode="External"/><Relationship Id="rId19" Type="http://schemas.openxmlformats.org/officeDocument/2006/relationships/hyperlink" Target="https://doi.org/10.14430/arctic687" TargetMode="External"/><Relationship Id="rId31" Type="http://schemas.openxmlformats.org/officeDocument/2006/relationships/hyperlink" Target="https://www12.statcan.gc.ca/english/Profil01/CP01/Details/Page.cfm?Lang=E&amp;Geo1=CSD&amp;Code1=6107036&amp;Geo2=PR&amp;Code2=61&amp;Data=Count&amp;SearchText=Tuk&amp;SearchType=Begins&amp;SearchPR=01&amp;B1=All&amp;Custom" TargetMode="External"/><Relationship Id="rId4" Type="http://schemas.openxmlformats.org/officeDocument/2006/relationships/webSettings" Target="webSettings.xml"/><Relationship Id="rId9" Type="http://schemas.openxmlformats.org/officeDocument/2006/relationships/hyperlink" Target="https://link-gale-com.subzero.lib.uoguelph.ca/apps/doc/A186582317/AONE?u=guel77241&amp;sid=AONE&amp;xid=47736846" TargetMode="External"/><Relationship Id="rId14" Type="http://schemas.openxmlformats.org/officeDocument/2006/relationships/hyperlink" Target="https://doi.org/10.1289/ehp.8433" TargetMode="External"/><Relationship Id="rId22" Type="http://schemas.openxmlformats.org/officeDocument/2006/relationships/hyperlink" Target="https://doi.org/10.1146/annurev.nutr.20.1.595" TargetMode="External"/><Relationship Id="rId27" Type="http://schemas.openxmlformats.org/officeDocument/2006/relationships/hyperlink" Target="https://doi.org/10.1007/s10113-012-0297-2" TargetMode="External"/><Relationship Id="rId30" Type="http://schemas.openxmlformats.org/officeDocument/2006/relationships/hyperlink" Target="https://doi.org/10.1186/1471-2458-13-427" TargetMode="External"/><Relationship Id="rId35" Type="http://schemas.openxmlformats.org/officeDocument/2006/relationships/hyperlink" Target="https://doi.org/10.1007/s10393-010-0344-8" TargetMode="External"/><Relationship Id="rId8" Type="http://schemas.openxmlformats.org/officeDocument/2006/relationships/hyperlink" Target="https://doi.org/10.15353/cfs-rcea.v2i1.6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1107</TotalTime>
  <Pages>14</Pages>
  <Words>6758</Words>
  <Characters>38523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Poirier</dc:creator>
  <cp:keywords/>
  <dc:description/>
  <cp:lastModifiedBy>Brianna Poirier</cp:lastModifiedBy>
  <cp:revision>59</cp:revision>
  <dcterms:created xsi:type="dcterms:W3CDTF">2020-04-26T07:27:00Z</dcterms:created>
  <dcterms:modified xsi:type="dcterms:W3CDTF">2020-05-15T07:20:00Z</dcterms:modified>
</cp:coreProperties>
</file>